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media/image1.png" ContentType="image/png"/>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6" w:before="0" w:after="169"/>
        <w:ind w:left="226" w:right="58" w:hanging="10"/>
        <w:rPr/>
      </w:pPr>
      <w:r>
        <w:rPr>
          <w:b/>
        </w:rPr>
        <w:t xml:space="preserve">Statement </w:t>
      </w:r>
    </w:p>
    <w:p>
      <w:pPr>
        <w:pStyle w:val="Normal"/>
        <w:spacing w:lineRule="auto" w:line="264" w:before="0" w:after="5"/>
        <w:ind w:left="211" w:right="57" w:hanging="10"/>
        <w:jc w:val="left"/>
        <w:rPr/>
      </w:pPr>
      <w:r>
        <w:rPr/>
        <w:t xml:space="preserve">The role of councillor across all tiers of local government is a vital part of our country’s system of democracy. It is important that, as councillors, we can be held accountable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pPr>
        <w:pStyle w:val="Normal"/>
        <w:spacing w:lineRule="auto" w:line="259" w:before="0" w:after="76"/>
        <w:ind w:left="216" w:hanging="0"/>
        <w:jc w:val="left"/>
        <w:rPr/>
      </w:pPr>
      <w:r>
        <w:rPr/>
        <w:t xml:space="preserve"> </w:t>
      </w:r>
    </w:p>
    <w:p>
      <w:pPr>
        <w:pStyle w:val="Normal"/>
        <w:ind w:left="211" w:right="329" w:hanging="10"/>
        <w:rPr/>
      </w:pPr>
      <w:r>
        <w:rP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pPr>
        <w:pStyle w:val="Normal"/>
        <w:spacing w:lineRule="auto" w:line="259" w:before="0" w:after="76"/>
        <w:ind w:left="216" w:hanging="0"/>
        <w:jc w:val="left"/>
        <w:rPr/>
      </w:pPr>
      <w:r>
        <w:rPr/>
        <w:t xml:space="preserve"> </w:t>
      </w:r>
    </w:p>
    <w:p>
      <w:pPr>
        <w:pStyle w:val="Normal"/>
        <w:ind w:left="211" w:right="73" w:hanging="10"/>
        <w:rPr/>
      </w:pPr>
      <w:r>
        <w:rPr/>
        <w:t xml:space="preserve">Importantly, we should be able to undertake our role as a councillor without being intimidated, abused, bullied, or threatened by anyone, including the general public. </w:t>
      </w:r>
    </w:p>
    <w:p>
      <w:pPr>
        <w:pStyle w:val="Normal"/>
        <w:spacing w:lineRule="auto" w:line="259" w:before="0" w:after="77"/>
        <w:ind w:left="216" w:hanging="0"/>
        <w:jc w:val="left"/>
        <w:rPr/>
      </w:pPr>
      <w:r>
        <w:rPr/>
        <w:t xml:space="preserve"> </w:t>
      </w:r>
    </w:p>
    <w:p>
      <w:pPr>
        <w:pStyle w:val="Normal"/>
        <w:spacing w:before="0" w:after="107"/>
        <w:ind w:left="211" w:right="73" w:hanging="10"/>
        <w:rPr/>
      </w:pPr>
      <w:r>
        <w:rPr/>
        <w:t xml:space="preserve">This Code has been designed to protect our democratic role, encourage good conduct and safeguard the public’s trust in local government. </w:t>
      </w:r>
    </w:p>
    <w:p>
      <w:pPr>
        <w:pStyle w:val="Normal"/>
        <w:spacing w:lineRule="auto" w:line="259" w:before="0" w:after="6529"/>
        <w:ind w:left="216" w:hanging="0"/>
        <w:jc w:val="left"/>
        <w:rPr/>
      </w:pPr>
      <w:r>
        <w:rPr/>
        <w:t xml:space="preserve"> </w:t>
      </w:r>
    </w:p>
    <w:p>
      <w:pPr>
        <w:pStyle w:val="Normal"/>
        <w:spacing w:lineRule="auto" w:line="259" w:before="0" w:after="0"/>
        <w:ind w:left="0" w:hanging="0"/>
        <w:jc w:val="left"/>
        <w:rPr/>
      </w:pPr>
      <w:r>
        <w:rPr/>
        <w:t xml:space="preserve"> </w:t>
      </w:r>
      <w:r>
        <w:rPr/>
        <w:tab/>
        <w:t xml:space="preserve"> </w:t>
      </w:r>
    </w:p>
    <w:p>
      <w:pPr>
        <w:pStyle w:val="Normal"/>
        <w:spacing w:lineRule="auto" w:line="259" w:before="0" w:after="3"/>
        <w:ind w:left="10" w:right="-15" w:hanging="10"/>
        <w:jc w:val="right"/>
        <w:rPr/>
      </w:pPr>
      <w:r>
        <w:rPr/>
        <w:t xml:space="preserve">Page </w:t>
      </w:r>
      <w:r>
        <w:rPr>
          <w:b/>
        </w:rPr>
        <w:t>1</w:t>
      </w:r>
      <w:r>
        <w:rPr/>
        <w:t xml:space="preserve"> of </w:t>
      </w:r>
      <w:r>
        <w:rPr>
          <w:b/>
        </w:rPr>
        <w:t>19</w:t>
      </w:r>
      <w:r>
        <w:rPr/>
        <w:t xml:space="preserve"> </w:t>
      </w:r>
    </w:p>
    <w:p>
      <w:pPr>
        <w:pStyle w:val="Normal"/>
        <w:spacing w:lineRule="auto" w:line="266" w:before="0" w:after="5"/>
        <w:ind w:left="226" w:right="58" w:hanging="10"/>
        <w:rPr/>
      </w:pPr>
      <w:r>
        <w:rPr>
          <w:b/>
        </w:rPr>
        <w:t xml:space="preserve">Introduction </w:t>
      </w:r>
    </w:p>
    <w:p>
      <w:pPr>
        <w:pStyle w:val="Normal"/>
        <w:ind w:left="211" w:right="73" w:hanging="10"/>
        <w:rPr/>
      </w:pPr>
      <w:r>
        <w:rPr/>
        <w:t xml:space="preserve">All councils are required to have a local Councillor Code of Conduct.  </w:t>
      </w:r>
    </w:p>
    <w:p>
      <w:pPr>
        <w:pStyle w:val="Normal"/>
        <w:spacing w:lineRule="auto" w:line="259" w:before="0" w:after="19"/>
        <w:ind w:left="216" w:hanging="0"/>
        <w:jc w:val="left"/>
        <w:rPr/>
      </w:pPr>
      <w:r>
        <w:rPr/>
        <w:t xml:space="preserve"> </w:t>
      </w:r>
    </w:p>
    <w:p>
      <w:pPr>
        <w:pStyle w:val="Normal"/>
        <w:ind w:left="211" w:right="245" w:hanging="10"/>
        <w:rPr/>
      </w:pPr>
      <w:r>
        <w:rPr/>
        <w:t xml:space="preserve">This code is based on the Local Government Association’s Model Councillor Code of Conduct issued in May 2022. However some amendments have been added to the model code to reflect local practices in Wyre. </w:t>
      </w:r>
    </w:p>
    <w:p>
      <w:pPr>
        <w:pStyle w:val="Normal"/>
        <w:spacing w:lineRule="auto" w:line="259" w:before="0" w:after="0"/>
        <w:ind w:left="216" w:hanging="0"/>
        <w:jc w:val="left"/>
        <w:rPr/>
      </w:pPr>
      <w:r>
        <w:rPr/>
        <w:t xml:space="preserve"> </w:t>
      </w:r>
    </w:p>
    <w:p>
      <w:pPr>
        <w:pStyle w:val="Normal"/>
        <w:spacing w:lineRule="auto" w:line="266" w:before="0" w:after="42"/>
        <w:ind w:left="226" w:right="58" w:hanging="10"/>
        <w:rPr/>
      </w:pPr>
      <w:r>
        <w:rPr>
          <w:b/>
        </w:rPr>
        <w:t xml:space="preserve">Definitions </w:t>
      </w:r>
    </w:p>
    <w:p>
      <w:pPr>
        <w:pStyle w:val="Normal"/>
        <w:spacing w:before="0" w:after="40"/>
        <w:ind w:left="211" w:right="73" w:hanging="10"/>
        <w:rPr/>
      </w:pPr>
      <w:r>
        <w:rPr/>
        <w:t xml:space="preserve">For the purposes of this Code of Conduct, a “councillor” means a member or co-opted member of a local authority or a directly elected mayor. A “co-opted member” is defined in the Localism </w:t>
      </w:r>
    </w:p>
    <w:p>
      <w:pPr>
        <w:pStyle w:val="Normal"/>
        <w:spacing w:before="0" w:after="146"/>
        <w:ind w:left="211" w:right="73" w:hanging="10"/>
        <w:rPr/>
      </w:pPr>
      <w:r>
        <w:rPr/>
        <w:t xml:space="preserve">Act 2011 Section 27(4) as “a person who is not a member of the authority but who </w:t>
      </w:r>
    </w:p>
    <w:p>
      <w:pPr>
        <w:pStyle w:val="Normal"/>
        <w:numPr>
          <w:ilvl w:val="0"/>
          <w:numId w:val="1"/>
        </w:numPr>
        <w:ind w:left="950" w:right="73" w:hanging="374"/>
        <w:rPr/>
      </w:pPr>
      <w:r>
        <w:rPr/>
        <w:t xml:space="preserve">is a member of any committee or sub-committee of the authority, or; </w:t>
      </w:r>
    </w:p>
    <w:p>
      <w:pPr>
        <w:pStyle w:val="Normal"/>
        <w:numPr>
          <w:ilvl w:val="0"/>
          <w:numId w:val="1"/>
        </w:numPr>
        <w:ind w:left="950" w:right="73" w:hanging="374"/>
        <w:rPr/>
      </w:pPr>
      <w:r>
        <w:rPr/>
        <w:t xml:space="preserve">is a member of, and represents the authority on, any joint committee or joint sub- committee of the authority; </w:t>
      </w:r>
    </w:p>
    <w:p>
      <w:pPr>
        <w:pStyle w:val="Normal"/>
        <w:spacing w:before="0" w:after="43"/>
        <w:ind w:left="211" w:right="73" w:hanging="10"/>
        <w:rPr/>
      </w:pPr>
      <w:r>
        <w:rPr/>
        <w:t xml:space="preserve">and who is entitled to vote on any question that falls to be decided at any meeting of that committee or sub-committee”. </w:t>
      </w:r>
    </w:p>
    <w:p>
      <w:pPr>
        <w:pStyle w:val="Normal"/>
        <w:ind w:left="211" w:right="73" w:hanging="10"/>
        <w:rPr/>
      </w:pPr>
      <w:r>
        <w:rPr/>
        <w:t xml:space="preserve">For the purposes of this Code of Conduct,” local authority” means Wyre Borough Council and Town and Parish Councils in the Wyre district. </w:t>
      </w:r>
    </w:p>
    <w:p>
      <w:pPr>
        <w:pStyle w:val="Normal"/>
        <w:spacing w:lineRule="auto" w:line="259" w:before="0" w:after="0"/>
        <w:ind w:left="216" w:hanging="0"/>
        <w:jc w:val="left"/>
        <w:rPr/>
      </w:pPr>
      <w:r>
        <w:rPr/>
        <w:t xml:space="preserve"> </w:t>
      </w:r>
    </w:p>
    <w:p>
      <w:pPr>
        <w:pStyle w:val="Normal"/>
        <w:spacing w:lineRule="auto" w:line="266" w:before="0" w:after="5"/>
        <w:ind w:left="226" w:right="58" w:hanging="10"/>
        <w:rPr/>
      </w:pPr>
      <w:r>
        <w:rPr>
          <w:b/>
        </w:rPr>
        <w:t xml:space="preserve">Purpose of the Code of Conduct </w:t>
      </w:r>
    </w:p>
    <w:p>
      <w:pPr>
        <w:pStyle w:val="Normal"/>
        <w:spacing w:lineRule="auto" w:line="264" w:before="0" w:after="5"/>
        <w:ind w:left="211" w:right="154" w:hanging="10"/>
        <w:jc w:val="left"/>
        <w:rPr/>
      </w:pPr>
      <w:r>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fundamental aim of the Code is to create and maintain public confidence in the role of councillor and local government. </w:t>
      </w:r>
    </w:p>
    <w:p>
      <w:pPr>
        <w:pStyle w:val="Normal"/>
        <w:spacing w:lineRule="auto" w:line="259" w:before="0" w:after="57"/>
        <w:ind w:left="216" w:hanging="0"/>
        <w:jc w:val="left"/>
        <w:rPr/>
      </w:pPr>
      <w:r>
        <w:rPr/>
        <w:t xml:space="preserve"> </w:t>
      </w:r>
    </w:p>
    <w:p>
      <w:pPr>
        <w:pStyle w:val="Normal"/>
        <w:spacing w:lineRule="auto" w:line="266" w:before="0" w:after="115"/>
        <w:ind w:left="226" w:right="58" w:hanging="10"/>
        <w:rPr/>
      </w:pPr>
      <w:r>
        <w:rPr>
          <w:b/>
        </w:rPr>
        <w:t xml:space="preserve">General principles of councillor conduct </w:t>
      </w:r>
    </w:p>
    <w:p>
      <w:pPr>
        <w:pStyle w:val="Normal"/>
        <w:spacing w:before="0" w:after="112"/>
        <w:ind w:left="211" w:right="73" w:hanging="10"/>
        <w:rPr/>
      </w:pPr>
      <w:r>
        <w:rPr/>
        <w:t>Everyone in public office at all levels; all who serve the public or deliver public services, including ministers, civil servants, councillors and local authority employees; should uphold the</w:t>
      </w:r>
      <w:hyperlink r:id="rId2">
        <w:r>
          <w:rPr/>
          <w:t xml:space="preserve"> </w:t>
        </w:r>
      </w:hyperlink>
      <w:hyperlink r:id="rId3">
        <w:r>
          <w:rPr>
            <w:color w:val="0461C1"/>
            <w:u w:val="single" w:color="0461C1"/>
          </w:rPr>
          <w:t>Seven</w:t>
        </w:r>
      </w:hyperlink>
      <w:hyperlink r:id="rId4">
        <w:r>
          <w:rPr>
            <w:color w:val="0461C1"/>
          </w:rPr>
          <w:t xml:space="preserve"> </w:t>
        </w:r>
      </w:hyperlink>
      <w:hyperlink r:id="rId5">
        <w:r>
          <w:rPr>
            <w:color w:val="0461C1"/>
            <w:u w:val="single" w:color="0461C1"/>
          </w:rPr>
          <w:t>Principles</w:t>
        </w:r>
      </w:hyperlink>
      <w:hyperlink r:id="rId6">
        <w:r>
          <w:rPr>
            <w:color w:val="0461C1"/>
            <w:u w:val="single" w:color="0461C1"/>
          </w:rPr>
          <w:t xml:space="preserve"> </w:t>
        </w:r>
      </w:hyperlink>
      <w:hyperlink r:id="rId7">
        <w:r>
          <w:rPr>
            <w:color w:val="0461C1"/>
            <w:u w:val="single" w:color="0461C1"/>
          </w:rPr>
          <w:t>of Public</w:t>
        </w:r>
      </w:hyperlink>
      <w:hyperlink r:id="rId8">
        <w:r>
          <w:rPr>
            <w:color w:val="0461C1"/>
            <w:u w:val="single" w:color="0461C1"/>
          </w:rPr>
          <w:t xml:space="preserve"> </w:t>
        </w:r>
      </w:hyperlink>
      <w:hyperlink r:id="rId9">
        <w:r>
          <w:rPr>
            <w:color w:val="0461C1"/>
            <w:u w:val="single" w:color="0461C1"/>
          </w:rPr>
          <w:t>Lif</w:t>
        </w:r>
      </w:hyperlink>
      <w:hyperlink r:id="rId10">
        <w:r>
          <w:rPr>
            <w:color w:val="0461C1"/>
            <w:u w:val="single" w:color="0461C1"/>
          </w:rPr>
          <w:t>e</w:t>
        </w:r>
      </w:hyperlink>
      <w:hyperlink r:id="rId11">
        <w:r>
          <w:rPr/>
          <w:t xml:space="preserve">, </w:t>
        </w:r>
      </w:hyperlink>
      <w:hyperlink r:id="rId12">
        <w:r>
          <w:rPr/>
          <w:t>a</w:t>
        </w:r>
      </w:hyperlink>
      <w:r>
        <w:rPr/>
        <w:t xml:space="preserve">lso known as the Nolan Principles. </w:t>
      </w:r>
    </w:p>
    <w:p>
      <w:pPr>
        <w:pStyle w:val="Normal"/>
        <w:spacing w:before="0" w:after="113"/>
        <w:ind w:left="211" w:right="73" w:hanging="10"/>
        <w:rPr/>
      </w:pPr>
      <w:r>
        <w:rPr/>
        <w:t xml:space="preserve">Building on these principles, the following general principles have been developed specifically for the role of councillor. </w:t>
      </w:r>
    </w:p>
    <w:p>
      <w:pPr>
        <w:pStyle w:val="Normal"/>
        <w:spacing w:before="0" w:after="179"/>
        <w:ind w:left="211" w:right="73" w:hanging="10"/>
        <w:rPr/>
      </w:pPr>
      <w:r>
        <w:rPr/>
        <w:t xml:space="preserve">In accordance with the public trust placed in me, on all occasions: </w:t>
      </w:r>
    </w:p>
    <w:p>
      <w:pPr>
        <w:pStyle w:val="Normal"/>
        <w:numPr>
          <w:ilvl w:val="0"/>
          <w:numId w:val="2"/>
        </w:numPr>
        <w:spacing w:before="0" w:after="57"/>
        <w:ind w:left="936" w:right="73" w:hanging="360"/>
        <w:rPr/>
      </w:pPr>
      <w:r>
        <w:rPr/>
        <w:t>I act with integrity and honesty</w:t>
      </w:r>
      <w:r>
        <w:rPr>
          <w:sz w:val="24"/>
        </w:rPr>
        <w:t xml:space="preserve"> </w:t>
      </w:r>
    </w:p>
    <w:p>
      <w:pPr>
        <w:pStyle w:val="Normal"/>
        <w:numPr>
          <w:ilvl w:val="0"/>
          <w:numId w:val="2"/>
        </w:numPr>
        <w:spacing w:before="0" w:after="52"/>
        <w:ind w:left="936" w:right="73" w:hanging="360"/>
        <w:rPr/>
      </w:pPr>
      <w:r>
        <w:rPr/>
        <w:t>I act lawfully</w:t>
      </w:r>
      <w:r>
        <w:rPr>
          <w:sz w:val="24"/>
        </w:rPr>
        <w:t xml:space="preserve"> </w:t>
      </w:r>
    </w:p>
    <w:p>
      <w:pPr>
        <w:pStyle w:val="Normal"/>
        <w:numPr>
          <w:ilvl w:val="0"/>
          <w:numId w:val="2"/>
        </w:numPr>
        <w:spacing w:before="0" w:after="53"/>
        <w:ind w:left="936" w:right="73" w:hanging="360"/>
        <w:rPr/>
      </w:pPr>
      <w:r>
        <w:rPr/>
        <w:t>I treat all persons fairly and with respect; and</w:t>
      </w:r>
      <w:r>
        <w:rPr>
          <w:sz w:val="24"/>
        </w:rPr>
        <w:t xml:space="preserve"> </w:t>
      </w:r>
    </w:p>
    <w:p>
      <w:pPr>
        <w:pStyle w:val="Normal"/>
        <w:numPr>
          <w:ilvl w:val="0"/>
          <w:numId w:val="2"/>
        </w:numPr>
        <w:spacing w:before="0" w:after="104"/>
        <w:ind w:left="936" w:right="73" w:hanging="360"/>
        <w:rPr/>
      </w:pPr>
      <w:r>
        <w:rPr/>
        <w:t>I lead by example and act in a way that secures public confidence in the role of councillor.</w:t>
      </w:r>
      <w:r>
        <w:rPr>
          <w:sz w:val="24"/>
        </w:rPr>
        <w:t xml:space="preserve"> </w:t>
      </w:r>
    </w:p>
    <w:p>
      <w:pPr>
        <w:pStyle w:val="Normal"/>
        <w:spacing w:lineRule="auto" w:line="259" w:before="0" w:after="0"/>
        <w:ind w:left="216" w:hanging="0"/>
        <w:jc w:val="left"/>
        <w:rPr/>
      </w:pPr>
      <w:r>
        <w:rPr/>
        <w:t xml:space="preserve"> </w:t>
      </w:r>
    </w:p>
    <w:p>
      <w:pPr>
        <w:pStyle w:val="Normal"/>
        <w:spacing w:before="0" w:after="174"/>
        <w:ind w:left="211" w:right="73" w:hanging="10"/>
        <w:rPr/>
      </w:pPr>
      <w:r>
        <w:rPr/>
        <w:t xml:space="preserve">In undertaking my role: </w:t>
      </w:r>
    </w:p>
    <w:p>
      <w:pPr>
        <w:pStyle w:val="Normal"/>
        <w:numPr>
          <w:ilvl w:val="0"/>
          <w:numId w:val="2"/>
        </w:numPr>
        <w:spacing w:lineRule="auto" w:line="324"/>
        <w:ind w:left="936" w:right="73" w:hanging="360"/>
        <w:rPr/>
      </w:pPr>
      <w:r>
        <w:rPr/>
        <w:t>I impartially exercise my responsibilities in the interests of the local community</w:t>
      </w:r>
      <w:r>
        <w:rPr>
          <w:sz w:val="24"/>
        </w:rPr>
        <w:t xml:space="preserve"> • </w:t>
        <w:tab/>
      </w:r>
      <w:r>
        <w:rPr/>
        <w:t>I do not improperly seek to confer an advantage, or disadvantage, on any person</w:t>
      </w:r>
      <w:r>
        <w:rPr>
          <w:sz w:val="24"/>
        </w:rPr>
        <w:t xml:space="preserve"> </w:t>
      </w:r>
    </w:p>
    <w:p>
      <w:pPr>
        <w:pStyle w:val="Normal"/>
        <w:numPr>
          <w:ilvl w:val="0"/>
          <w:numId w:val="2"/>
        </w:numPr>
        <w:spacing w:before="0" w:after="52"/>
        <w:ind w:left="936" w:right="73" w:hanging="360"/>
        <w:rPr/>
      </w:pPr>
      <w:r>
        <w:rPr/>
        <w:t>I avoid conflicts of interest</w:t>
      </w:r>
      <w:r>
        <w:rPr>
          <w:sz w:val="24"/>
        </w:rPr>
        <w:t xml:space="preserve"> </w:t>
      </w:r>
    </w:p>
    <w:p>
      <w:pPr>
        <w:pStyle w:val="Normal"/>
        <w:numPr>
          <w:ilvl w:val="0"/>
          <w:numId w:val="2"/>
        </w:numPr>
        <w:spacing w:before="0" w:after="62"/>
        <w:ind w:left="936" w:right="73" w:hanging="360"/>
        <w:rPr/>
      </w:pPr>
      <w:r>
        <w:rPr/>
        <w:t>I exercise reasonable care and diligence; and</w:t>
      </w:r>
      <w:r>
        <w:rPr>
          <w:sz w:val="24"/>
        </w:rPr>
        <w:t xml:space="preserve"> </w:t>
      </w:r>
    </w:p>
    <w:p>
      <w:pPr>
        <w:pStyle w:val="Normal"/>
        <w:numPr>
          <w:ilvl w:val="0"/>
          <w:numId w:val="2"/>
        </w:numPr>
        <w:ind w:left="936" w:right="73" w:hanging="360"/>
        <w:rPr/>
      </w:pPr>
      <w:r>
        <w:rPr/>
        <w:t>I ensure that public resources are used prudently in accordance with my local authority’s requirements and in the public interest.</w:t>
      </w:r>
      <w:r>
        <w:rPr>
          <w:sz w:val="24"/>
        </w:rPr>
        <w:t xml:space="preserve"> </w:t>
      </w:r>
    </w:p>
    <w:p>
      <w:pPr>
        <w:pStyle w:val="Normal"/>
        <w:spacing w:lineRule="auto" w:line="259" w:before="0" w:after="50"/>
        <w:ind w:left="0" w:hanging="0"/>
        <w:jc w:val="left"/>
        <w:rPr/>
      </w:pPr>
      <w:r>
        <w:rPr>
          <w:b/>
        </w:rPr>
        <w:t xml:space="preserve"> </w:t>
      </w:r>
    </w:p>
    <w:p>
      <w:pPr>
        <w:pStyle w:val="Normal"/>
        <w:spacing w:lineRule="auto" w:line="266" w:before="0" w:after="100"/>
        <w:ind w:left="10" w:right="58" w:hanging="10"/>
        <w:rPr/>
      </w:pPr>
      <w:r>
        <w:rPr>
          <w:b/>
        </w:rPr>
        <w:t>Application of the Code of Conduct</w:t>
      </w:r>
      <w:r>
        <w:rPr>
          <w:sz w:val="24"/>
        </w:rPr>
        <w:t xml:space="preserve"> </w:t>
      </w:r>
    </w:p>
    <w:p>
      <w:pPr>
        <w:pStyle w:val="Normal"/>
        <w:spacing w:before="0" w:after="112"/>
        <w:ind w:left="211" w:right="150" w:hanging="10"/>
        <w:rPr/>
      </w:pPr>
      <w:r>
        <w:rPr/>
        <w:t xml:space="preserve">This Code of Conduct applies to you as soon as you sign your declaration of acceptance of the office of councillor or attend your first meeting as a co-opted member and continues to apply to you until you cease to be a councillor. </w:t>
      </w:r>
    </w:p>
    <w:p>
      <w:pPr>
        <w:pStyle w:val="Normal"/>
        <w:spacing w:before="0" w:after="122"/>
        <w:ind w:left="211" w:right="73" w:hanging="10"/>
        <w:rPr/>
      </w:pPr>
      <w:r>
        <w:rPr/>
        <w:t xml:space="preserve">This Code of Conduct applies to you when you are acting in your capacity as a councillor which may include when: </w:t>
      </w:r>
    </w:p>
    <w:p>
      <w:pPr>
        <w:pStyle w:val="Normal"/>
        <w:numPr>
          <w:ilvl w:val="0"/>
          <w:numId w:val="2"/>
        </w:numPr>
        <w:spacing w:before="0" w:after="136"/>
        <w:ind w:left="936" w:right="73" w:hanging="360"/>
        <w:rPr/>
      </w:pPr>
      <w:r>
        <w:rPr/>
        <w:t xml:space="preserve">you misuse your position as a councillor </w:t>
      </w:r>
    </w:p>
    <w:p>
      <w:pPr>
        <w:pStyle w:val="Normal"/>
        <w:numPr>
          <w:ilvl w:val="0"/>
          <w:numId w:val="2"/>
        </w:numPr>
        <w:ind w:left="936" w:right="73" w:hanging="360"/>
        <w:rPr/>
      </w:pPr>
      <w:r>
        <w:rPr/>
        <w:t xml:space="preserve">your actions would give the impression to a reasonable member of the public with knowledge of all the facts that you are acting as a councillor; </w:t>
      </w:r>
    </w:p>
    <w:p>
      <w:pPr>
        <w:pStyle w:val="Normal"/>
        <w:spacing w:lineRule="auto" w:line="259" w:before="0" w:after="19"/>
        <w:ind w:left="216" w:hanging="0"/>
        <w:jc w:val="left"/>
        <w:rPr/>
      </w:pPr>
      <w:r>
        <w:rPr/>
        <w:t xml:space="preserve"> </w:t>
      </w:r>
    </w:p>
    <w:p>
      <w:pPr>
        <w:pStyle w:val="Normal"/>
        <w:spacing w:before="0" w:after="45"/>
        <w:ind w:left="211" w:right="73" w:hanging="10"/>
        <w:rPr/>
      </w:pPr>
      <w:r>
        <w:rPr/>
        <w:t xml:space="preserve">The Code applies to all forms of communication and interaction, including: </w:t>
      </w:r>
    </w:p>
    <w:p>
      <w:pPr>
        <w:pStyle w:val="Normal"/>
        <w:numPr>
          <w:ilvl w:val="0"/>
          <w:numId w:val="2"/>
        </w:numPr>
        <w:spacing w:before="0" w:after="158"/>
        <w:ind w:left="936" w:right="73" w:hanging="360"/>
        <w:rPr/>
      </w:pPr>
      <w:r>
        <w:rPr/>
        <w:t>at face-to-face meetings</w:t>
      </w:r>
      <w:r>
        <w:rPr>
          <w:sz w:val="24"/>
        </w:rPr>
        <w:t xml:space="preserve"> </w:t>
      </w:r>
    </w:p>
    <w:p>
      <w:pPr>
        <w:pStyle w:val="Normal"/>
        <w:numPr>
          <w:ilvl w:val="0"/>
          <w:numId w:val="2"/>
        </w:numPr>
        <w:spacing w:before="0" w:after="148"/>
        <w:ind w:left="936" w:right="73" w:hanging="360"/>
        <w:rPr/>
      </w:pPr>
      <w:r>
        <w:rPr/>
        <w:t>at online or telephone meetings</w:t>
      </w:r>
      <w:r>
        <w:rPr>
          <w:sz w:val="24"/>
        </w:rPr>
        <w:t xml:space="preserve"> </w:t>
      </w:r>
    </w:p>
    <w:p>
      <w:pPr>
        <w:pStyle w:val="Normal"/>
        <w:numPr>
          <w:ilvl w:val="0"/>
          <w:numId w:val="2"/>
        </w:numPr>
        <w:spacing w:before="0" w:after="157"/>
        <w:ind w:left="936" w:right="73" w:hanging="360"/>
        <w:rPr/>
      </w:pPr>
      <w:r>
        <w:rPr/>
        <w:t>in written communication</w:t>
      </w:r>
      <w:r>
        <w:rPr>
          <w:sz w:val="24"/>
        </w:rPr>
        <w:t xml:space="preserve"> </w:t>
      </w:r>
    </w:p>
    <w:p>
      <w:pPr>
        <w:pStyle w:val="Normal"/>
        <w:numPr>
          <w:ilvl w:val="0"/>
          <w:numId w:val="2"/>
        </w:numPr>
        <w:spacing w:before="0" w:after="148"/>
        <w:ind w:left="936" w:right="73" w:hanging="360"/>
        <w:rPr/>
      </w:pPr>
      <w:r>
        <w:rPr/>
        <w:t>in verbal communication</w:t>
      </w:r>
      <w:r>
        <w:rPr>
          <w:sz w:val="24"/>
        </w:rPr>
        <w:t xml:space="preserve"> </w:t>
      </w:r>
    </w:p>
    <w:p>
      <w:pPr>
        <w:pStyle w:val="Normal"/>
        <w:numPr>
          <w:ilvl w:val="0"/>
          <w:numId w:val="2"/>
        </w:numPr>
        <w:spacing w:before="0" w:after="153"/>
        <w:ind w:left="936" w:right="73" w:hanging="360"/>
        <w:rPr/>
      </w:pPr>
      <w:r>
        <w:rPr/>
        <w:t>in non-verbal communication</w:t>
      </w:r>
      <w:r>
        <w:rPr>
          <w:sz w:val="24"/>
        </w:rPr>
        <w:t xml:space="preserve"> </w:t>
      </w:r>
    </w:p>
    <w:p>
      <w:pPr>
        <w:pStyle w:val="Normal"/>
        <w:numPr>
          <w:ilvl w:val="0"/>
          <w:numId w:val="2"/>
        </w:numPr>
        <w:spacing w:before="0" w:after="136"/>
        <w:ind w:left="936" w:right="73" w:hanging="360"/>
        <w:rPr/>
      </w:pPr>
      <w:r>
        <w:rPr/>
        <w:t>in electronic and social media communication, posts, statements and comments.</w:t>
      </w:r>
      <w:r>
        <w:rPr>
          <w:sz w:val="24"/>
        </w:rPr>
        <w:t xml:space="preserve"> </w:t>
      </w:r>
    </w:p>
    <w:p>
      <w:pPr>
        <w:pStyle w:val="Normal"/>
        <w:spacing w:lineRule="auto" w:line="259" w:before="0" w:after="115"/>
        <w:ind w:left="576" w:hanging="0"/>
        <w:jc w:val="left"/>
        <w:rPr/>
      </w:pPr>
      <w:r>
        <w:rPr>
          <w:sz w:val="24"/>
        </w:rPr>
        <w:t xml:space="preserve"> </w:t>
      </w:r>
    </w:p>
    <w:p>
      <w:pPr>
        <w:pStyle w:val="Normal"/>
        <w:spacing w:before="0" w:after="122"/>
        <w:ind w:left="211" w:right="73" w:hanging="10"/>
        <w:rPr/>
      </w:pPr>
      <w:r>
        <w:rPr/>
        <w:t xml:space="preserve">You are also expected to uphold high standards of conduct and show leadership at all times when acting as a councillor. </w:t>
      </w:r>
    </w:p>
    <w:p>
      <w:pPr>
        <w:pStyle w:val="Normal"/>
        <w:ind w:left="211" w:right="73" w:hanging="10"/>
        <w:rPr/>
      </w:pPr>
      <w:r>
        <w:rPr/>
        <w:t xml:space="preserve">Wyre Council’s Monitoring Officer has statutory responsibility for the implementation of the Code of  Conduct and exercises that responsibility through the Clerk in respect of town and parish councils. Town and parish councillors are encouraged to seek advice from their Clerk, who may refer matters to the Monitoring Officer or direct with the Monitoring Officer where necessary. </w:t>
      </w:r>
    </w:p>
    <w:p>
      <w:pPr>
        <w:pStyle w:val="Normal"/>
        <w:spacing w:lineRule="auto" w:line="259" w:before="0" w:after="7"/>
        <w:ind w:left="0" w:hanging="0"/>
        <w:jc w:val="left"/>
        <w:rPr/>
      </w:pPr>
      <w:r>
        <w:rPr>
          <w:sz w:val="23"/>
        </w:rPr>
        <w:t xml:space="preserve"> </w:t>
      </w:r>
    </w:p>
    <w:p>
      <w:pPr>
        <w:pStyle w:val="Normal"/>
        <w:spacing w:lineRule="auto" w:line="266" w:before="0" w:after="139"/>
        <w:ind w:left="226" w:right="58" w:hanging="10"/>
        <w:rPr/>
      </w:pPr>
      <w:r>
        <w:rPr>
          <w:b/>
        </w:rPr>
        <w:t xml:space="preserve">Standards of councillor conduct </w:t>
      </w:r>
    </w:p>
    <w:p>
      <w:pPr>
        <w:pStyle w:val="Normal"/>
        <w:ind w:left="211" w:right="73" w:hanging="10"/>
        <w:rPr/>
      </w:pPr>
      <w:r>
        <w:rPr/>
        <w:t xml:space="preserve">This section sets out your obligations, which are the minimum standards of conduct required of you as a councillor. Should your conduct fall short of these standards, a complaint may be made against you, which may result in action being taken. </w:t>
      </w:r>
    </w:p>
    <w:p>
      <w:pPr>
        <w:pStyle w:val="Normal"/>
        <w:ind w:left="211" w:right="73" w:hanging="10"/>
        <w:rPr/>
      </w:pPr>
      <w:r>
        <w:rPr/>
        <w:t xml:space="preserve">Guidance is included at Appendix D to help explain the reasons for the obligations and how they should be  followed. </w:t>
      </w:r>
    </w:p>
    <w:p>
      <w:pPr>
        <w:pStyle w:val="Normal"/>
        <w:spacing w:lineRule="auto" w:line="259" w:before="0" w:after="124"/>
        <w:ind w:left="216" w:hanging="0"/>
        <w:jc w:val="left"/>
        <w:rPr/>
      </w:pPr>
      <w:r>
        <w:rPr/>
        <w:t xml:space="preserve"> </w:t>
      </w:r>
    </w:p>
    <w:p>
      <w:pPr>
        <w:pStyle w:val="Normal"/>
        <w:spacing w:lineRule="auto" w:line="266" w:before="0" w:after="193"/>
        <w:ind w:left="226" w:right="58" w:hanging="10"/>
        <w:rPr/>
      </w:pPr>
      <w:r>
        <w:rPr>
          <w:b/>
        </w:rPr>
        <w:t xml:space="preserve">General Conduct </w:t>
      </w:r>
    </w:p>
    <w:p>
      <w:pPr>
        <w:pStyle w:val="Normal"/>
        <w:numPr>
          <w:ilvl w:val="0"/>
          <w:numId w:val="3"/>
        </w:numPr>
        <w:spacing w:lineRule="auto" w:line="266" w:before="0" w:after="135"/>
        <w:ind w:left="637" w:right="58" w:hanging="423"/>
        <w:rPr/>
      </w:pPr>
      <w:r>
        <w:rPr>
          <w:b/>
        </w:rPr>
        <w:t xml:space="preserve">Respect as a councillor: </w:t>
      </w:r>
    </w:p>
    <w:p>
      <w:pPr>
        <w:pStyle w:val="Normal"/>
        <w:numPr>
          <w:ilvl w:val="1"/>
          <w:numId w:val="3"/>
        </w:numPr>
        <w:spacing w:lineRule="auto" w:line="266" w:before="0" w:after="5"/>
        <w:ind w:left="964" w:right="58" w:hanging="403"/>
        <w:rPr/>
      </w:pPr>
      <w:r>
        <w:rPr>
          <w:b/>
        </w:rPr>
        <w:t xml:space="preserve">I treat other councillors and members of the public with respect. </w:t>
      </w:r>
    </w:p>
    <w:p>
      <w:pPr>
        <w:pStyle w:val="Normal"/>
        <w:spacing w:lineRule="auto" w:line="259" w:before="0" w:after="54"/>
        <w:ind w:left="0" w:hanging="0"/>
        <w:jc w:val="left"/>
        <w:rPr/>
      </w:pPr>
      <w:r>
        <w:rPr>
          <w:b/>
        </w:rPr>
        <w:t xml:space="preserve"> </w:t>
      </w:r>
    </w:p>
    <w:p>
      <w:pPr>
        <w:pStyle w:val="Normal"/>
        <w:numPr>
          <w:ilvl w:val="1"/>
          <w:numId w:val="3"/>
        </w:numPr>
        <w:spacing w:lineRule="auto" w:line="276" w:before="0" w:after="1"/>
        <w:ind w:left="964" w:right="58" w:hanging="403"/>
        <w:rPr/>
      </w:pPr>
      <w:r>
        <w:rPr>
          <w:b/>
        </w:rPr>
        <w:t xml:space="preserve">I treat local authority employees, employees and representatives of partner organisations and those volunteering for the local authority with respect and respect the role they play. </w:t>
      </w:r>
    </w:p>
    <w:p>
      <w:pPr>
        <w:pStyle w:val="Normal"/>
        <w:spacing w:lineRule="auto" w:line="259" w:before="0" w:after="91"/>
        <w:ind w:left="216" w:hanging="0"/>
        <w:jc w:val="left"/>
        <w:rPr/>
      </w:pPr>
      <w:r>
        <w:rPr/>
        <w:t xml:space="preserve"> </w:t>
      </w:r>
    </w:p>
    <w:p>
      <w:pPr>
        <w:pStyle w:val="Normal"/>
        <w:ind w:left="211" w:right="197" w:hanging="10"/>
        <w:rPr/>
      </w:pPr>
      <w:r>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pPr>
        <w:pStyle w:val="Normal"/>
        <w:spacing w:lineRule="auto" w:line="259" w:before="0" w:after="7"/>
        <w:ind w:left="0" w:hanging="0"/>
        <w:jc w:val="left"/>
        <w:rPr/>
      </w:pPr>
      <w:r>
        <w:rPr>
          <w:sz w:val="23"/>
        </w:rPr>
        <w:t xml:space="preserve"> </w:t>
      </w:r>
    </w:p>
    <w:p>
      <w:pPr>
        <w:pStyle w:val="Normal"/>
        <w:spacing w:before="0" w:after="112"/>
        <w:ind w:left="211" w:right="73" w:hanging="10"/>
        <w:rPr/>
      </w:pPr>
      <w:r>
        <w:rPr/>
        <w:t xml:space="preserve">In your contact with the public, you should treat them politely and courteously. Rude and offensive behaviour lowers the public’s expectations and confidence in councillors. </w:t>
      </w:r>
    </w:p>
    <w:p>
      <w:pPr>
        <w:pStyle w:val="Normal"/>
        <w:spacing w:lineRule="auto" w:line="264" w:before="0" w:after="5"/>
        <w:ind w:left="211" w:right="57" w:hanging="10"/>
        <w:jc w:val="left"/>
        <w:rPr/>
      </w:pPr>
      <w:r>
        <w:rPr/>
        <w:t xml:space="preserve">In return, you have a right to expect respectful behaviour from the public. If members of the public are being abusive, intimidating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any local authority’s councillor- officer protocol. </w:t>
      </w:r>
    </w:p>
    <w:p>
      <w:pPr>
        <w:pStyle w:val="Normal"/>
        <w:spacing w:lineRule="auto" w:line="259" w:before="0" w:after="126"/>
        <w:ind w:left="216" w:hanging="0"/>
        <w:jc w:val="left"/>
        <w:rPr/>
      </w:pPr>
      <w:r>
        <w:rPr/>
        <w:t xml:space="preserve"> </w:t>
      </w:r>
    </w:p>
    <w:p>
      <w:pPr>
        <w:pStyle w:val="Normal"/>
        <w:numPr>
          <w:ilvl w:val="0"/>
          <w:numId w:val="3"/>
        </w:numPr>
        <w:spacing w:lineRule="auto" w:line="266" w:before="0" w:after="5"/>
        <w:ind w:left="637" w:right="58" w:hanging="423"/>
        <w:rPr/>
      </w:pPr>
      <w:r>
        <w:rPr>
          <w:b/>
        </w:rPr>
        <w:t xml:space="preserve">Bullying, harassment and discrimination as a councillor: </w:t>
      </w:r>
    </w:p>
    <w:p>
      <w:pPr>
        <w:pStyle w:val="Normal"/>
        <w:spacing w:lineRule="auto" w:line="259" w:before="0" w:after="15"/>
        <w:ind w:left="216" w:hanging="0"/>
        <w:jc w:val="left"/>
        <w:rPr/>
      </w:pPr>
      <w:r>
        <w:rPr/>
        <w:t xml:space="preserve"> </w:t>
      </w:r>
    </w:p>
    <w:p>
      <w:pPr>
        <w:pStyle w:val="Normal"/>
        <w:numPr>
          <w:ilvl w:val="1"/>
          <w:numId w:val="3"/>
        </w:numPr>
        <w:spacing w:lineRule="auto" w:line="266" w:before="0" w:after="5"/>
        <w:ind w:left="964" w:right="58" w:hanging="403"/>
        <w:rPr/>
      </w:pPr>
      <w:r>
        <w:rPr>
          <w:b/>
        </w:rPr>
        <w:t xml:space="preserve">I do not bully any person. </w:t>
      </w:r>
    </w:p>
    <w:p>
      <w:pPr>
        <w:pStyle w:val="Normal"/>
        <w:spacing w:lineRule="auto" w:line="259" w:before="0" w:after="48"/>
        <w:ind w:left="0" w:hanging="0"/>
        <w:jc w:val="left"/>
        <w:rPr/>
      </w:pPr>
      <w:r>
        <w:rPr>
          <w:b/>
        </w:rPr>
        <w:t xml:space="preserve"> </w:t>
      </w:r>
    </w:p>
    <w:p>
      <w:pPr>
        <w:pStyle w:val="Normal"/>
        <w:numPr>
          <w:ilvl w:val="1"/>
          <w:numId w:val="3"/>
        </w:numPr>
        <w:spacing w:lineRule="auto" w:line="266" w:before="0" w:after="5"/>
        <w:ind w:left="964" w:right="58" w:hanging="403"/>
        <w:rPr/>
      </w:pPr>
      <w:r>
        <w:rPr>
          <w:b/>
        </w:rPr>
        <w:t xml:space="preserve">I do not harass any person. </w:t>
      </w:r>
    </w:p>
    <w:p>
      <w:pPr>
        <w:pStyle w:val="Normal"/>
        <w:spacing w:lineRule="auto" w:line="259" w:before="0" w:after="16"/>
        <w:ind w:left="216" w:hanging="0"/>
        <w:jc w:val="left"/>
        <w:rPr/>
      </w:pPr>
      <w:r>
        <w:rPr/>
        <w:t xml:space="preserve"> </w:t>
      </w:r>
    </w:p>
    <w:p>
      <w:pPr>
        <w:pStyle w:val="Normal"/>
        <w:numPr>
          <w:ilvl w:val="1"/>
          <w:numId w:val="3"/>
        </w:numPr>
        <w:spacing w:lineRule="auto" w:line="266" w:before="0" w:after="5"/>
        <w:ind w:left="964" w:right="58" w:hanging="403"/>
        <w:rPr/>
      </w:pPr>
      <w:r>
        <w:rPr>
          <w:b/>
        </w:rPr>
        <w:t xml:space="preserve">I promote equalities and do not discriminate unlawfully against any person. </w:t>
      </w:r>
    </w:p>
    <w:p>
      <w:pPr>
        <w:pStyle w:val="Normal"/>
        <w:spacing w:lineRule="auto" w:line="259" w:before="0" w:after="95"/>
        <w:ind w:left="216" w:hanging="0"/>
        <w:jc w:val="left"/>
        <w:rPr/>
      </w:pPr>
      <w:r>
        <w:rPr/>
        <w:t xml:space="preserve"> </w:t>
      </w:r>
    </w:p>
    <w:p>
      <w:pPr>
        <w:pStyle w:val="Normal"/>
        <w:spacing w:before="0" w:after="107"/>
        <w:ind w:left="211" w:right="171" w:hanging="10"/>
        <w:rPr/>
      </w:pPr>
      <w:r>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pPr>
        <w:pStyle w:val="Normal"/>
        <w:ind w:left="211" w:right="73" w:hanging="10"/>
        <w:rPr/>
      </w:pPr>
      <w:r>
        <w:rPr/>
        <w:t xml:space="preserve">The Protection from Harassment Act 1997 defines harassment as conduct that causes alarm </w:t>
      </w:r>
    </w:p>
    <w:p>
      <w:pPr>
        <w:pStyle w:val="Normal"/>
        <w:spacing w:lineRule="auto" w:line="264" w:before="0" w:after="100"/>
        <w:ind w:left="211" w:right="57" w:hanging="10"/>
        <w:jc w:val="left"/>
        <w:rPr/>
      </w:pPr>
      <w:r>
        <w:rPr/>
        <w:t xml:space="preserve">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pPr>
        <w:pStyle w:val="Normal"/>
        <w:spacing w:before="0" w:after="102"/>
        <w:ind w:left="211" w:right="430" w:hanging="10"/>
        <w:rPr/>
      </w:pPr>
      <w:r>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pPr>
        <w:pStyle w:val="Normal"/>
        <w:ind w:left="211" w:right="149" w:hanging="10"/>
        <w:rPr/>
      </w:pPr>
      <w:r>
        <w:rPr/>
        <w:t xml:space="preserve">The Equality Act 2010 places specific duties on local authorities. Councillors have a central role to play in ensuring that equality issues are integral to the local authority's performance and aims, and that there is a strong vision and public commitment to equality across public services. </w:t>
      </w:r>
    </w:p>
    <w:p>
      <w:pPr>
        <w:pStyle w:val="Normal"/>
        <w:spacing w:lineRule="auto" w:line="259" w:before="0" w:after="16"/>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Impartiality of officers of the council as a councillor: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compromise, or attempt to compromise, the impartiality of anyone who works for, or on behalf of, the local authority. </w:t>
      </w:r>
    </w:p>
    <w:p>
      <w:pPr>
        <w:pStyle w:val="Normal"/>
        <w:spacing w:lineRule="auto" w:line="259" w:before="0" w:after="23"/>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have due regard to advice provided by the Council’s Clerk/Responsible Financial Officer. </w:t>
      </w:r>
    </w:p>
    <w:p>
      <w:pPr>
        <w:pStyle w:val="Normal"/>
        <w:spacing w:lineRule="auto" w:line="259" w:before="0" w:after="91"/>
        <w:ind w:left="216" w:hanging="0"/>
        <w:jc w:val="left"/>
        <w:rPr/>
      </w:pPr>
      <w:r>
        <w:rPr/>
        <w:t xml:space="preserve"> </w:t>
      </w:r>
    </w:p>
    <w:p>
      <w:pPr>
        <w:pStyle w:val="Normal"/>
        <w:spacing w:lineRule="auto" w:line="264" w:before="0" w:after="5"/>
        <w:ind w:left="211" w:right="57" w:hanging="10"/>
        <w:jc w:val="left"/>
        <w:rPr/>
      </w:pPr>
      <w:r>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pPr>
        <w:pStyle w:val="Normal"/>
        <w:spacing w:lineRule="auto" w:line="259" w:before="0" w:after="137"/>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Confidentiality and access to information as a councillor: </w:t>
      </w:r>
    </w:p>
    <w:p>
      <w:pPr>
        <w:pStyle w:val="Normal"/>
        <w:numPr>
          <w:ilvl w:val="1"/>
          <w:numId w:val="4"/>
        </w:numPr>
        <w:spacing w:lineRule="auto" w:line="266" w:before="0" w:after="5"/>
        <w:ind w:left="964" w:right="58" w:hanging="403"/>
        <w:rPr/>
      </w:pPr>
      <w:r>
        <w:rPr>
          <w:b/>
        </w:rPr>
        <w:t xml:space="preserve">I do not disclose information: </w:t>
      </w:r>
    </w:p>
    <w:p>
      <w:pPr>
        <w:pStyle w:val="Normal"/>
        <w:numPr>
          <w:ilvl w:val="4"/>
          <w:numId w:val="5"/>
        </w:numPr>
        <w:spacing w:lineRule="auto" w:line="266" w:before="0" w:after="5"/>
        <w:ind w:left="1899" w:right="58" w:hanging="394"/>
        <w:rPr/>
      </w:pPr>
      <w:r>
        <w:rPr>
          <w:b/>
        </w:rPr>
        <w:t xml:space="preserve">given to me in confidence by anyone </w:t>
      </w:r>
    </w:p>
    <w:p>
      <w:pPr>
        <w:pStyle w:val="Normal"/>
        <w:numPr>
          <w:ilvl w:val="4"/>
          <w:numId w:val="5"/>
        </w:numPr>
        <w:spacing w:lineRule="auto" w:line="266" w:before="0" w:after="37"/>
        <w:ind w:left="1899" w:right="58" w:hanging="394"/>
        <w:rPr/>
      </w:pPr>
      <w:r>
        <w:rPr>
          <w:b/>
        </w:rPr>
        <w:t xml:space="preserve">acquired by me which I believe, or ought reasonably to be aware, is of a confidential nature, unless </w:t>
      </w:r>
    </w:p>
    <w:p>
      <w:pPr>
        <w:pStyle w:val="Normal"/>
        <w:numPr>
          <w:ilvl w:val="5"/>
          <w:numId w:val="7"/>
        </w:numPr>
        <w:spacing w:lineRule="auto" w:line="266" w:before="0" w:after="39"/>
        <w:ind w:left="2670" w:right="58" w:hanging="499"/>
        <w:rPr/>
      </w:pPr>
      <w:r>
        <w:rPr>
          <w:b/>
        </w:rPr>
        <w:t xml:space="preserve">I have received the consent of a person authorised to give it; </w:t>
      </w:r>
    </w:p>
    <w:p>
      <w:pPr>
        <w:pStyle w:val="Normal"/>
        <w:numPr>
          <w:ilvl w:val="5"/>
          <w:numId w:val="7"/>
        </w:numPr>
        <w:spacing w:lineRule="auto" w:line="266" w:before="0" w:after="5"/>
        <w:ind w:left="2670" w:right="58" w:hanging="499"/>
        <w:rPr/>
      </w:pPr>
      <w:r>
        <w:rPr>
          <w:b/>
        </w:rPr>
        <w:t xml:space="preserve">I am required by law to do so; </w:t>
      </w:r>
    </w:p>
    <w:p>
      <w:pPr>
        <w:pStyle w:val="Normal"/>
        <w:numPr>
          <w:ilvl w:val="5"/>
          <w:numId w:val="7"/>
        </w:numPr>
        <w:spacing w:lineRule="auto" w:line="266" w:before="0" w:after="41"/>
        <w:ind w:left="2670" w:right="58" w:hanging="499"/>
        <w:rPr/>
      </w:pPr>
      <w:r>
        <w:rPr>
          <w:b/>
        </w:rPr>
        <w:t xml:space="preserve">the disclosure is made to a third party for the purpose of obtaining professional legal advice provided that the third party agrees not to disclose the information to any other person; or </w:t>
      </w:r>
    </w:p>
    <w:p>
      <w:pPr>
        <w:pStyle w:val="Normal"/>
        <w:numPr>
          <w:ilvl w:val="5"/>
          <w:numId w:val="7"/>
        </w:numPr>
        <w:spacing w:lineRule="auto" w:line="266" w:before="0" w:after="5"/>
        <w:ind w:left="2670" w:right="58" w:hanging="499"/>
        <w:rPr/>
      </w:pPr>
      <w:r>
        <w:rPr>
          <w:b/>
        </w:rPr>
        <w:t xml:space="preserve">the disclosure is: </w:t>
      </w:r>
    </w:p>
    <w:p>
      <w:pPr>
        <w:pStyle w:val="Normal"/>
        <w:numPr>
          <w:ilvl w:val="6"/>
          <w:numId w:val="6"/>
        </w:numPr>
        <w:spacing w:lineRule="auto" w:line="266" w:before="0" w:after="5"/>
        <w:ind w:left="3338" w:right="58" w:hanging="389"/>
        <w:rPr/>
      </w:pPr>
      <w:r>
        <w:rPr>
          <w:b/>
        </w:rPr>
        <w:t xml:space="preserve">reasonable and in the public interest; and </w:t>
      </w:r>
    </w:p>
    <w:p>
      <w:pPr>
        <w:pStyle w:val="Normal"/>
        <w:numPr>
          <w:ilvl w:val="6"/>
          <w:numId w:val="6"/>
        </w:numPr>
        <w:spacing w:lineRule="auto" w:line="266" w:before="0" w:after="5"/>
        <w:ind w:left="3338" w:right="58" w:hanging="389"/>
        <w:rPr/>
      </w:pPr>
      <w:r>
        <w:rPr>
          <w:b/>
        </w:rPr>
        <w:t xml:space="preserve">made in good faith and in compliance with the reasonable requirements of the local authority; and </w:t>
      </w:r>
    </w:p>
    <w:p>
      <w:pPr>
        <w:pStyle w:val="Normal"/>
        <w:numPr>
          <w:ilvl w:val="6"/>
          <w:numId w:val="6"/>
        </w:numPr>
        <w:spacing w:lineRule="auto" w:line="266" w:before="0" w:after="34"/>
        <w:ind w:left="3338" w:right="58" w:hanging="389"/>
        <w:rPr/>
      </w:pPr>
      <w:r>
        <w:rPr>
          <w:b/>
        </w:rPr>
        <w:t xml:space="preserve">I have consulted the Clerk prior to its release. </w:t>
      </w:r>
    </w:p>
    <w:p>
      <w:pPr>
        <w:pStyle w:val="Normal"/>
        <w:spacing w:lineRule="auto" w:line="259" w:before="0" w:after="33"/>
        <w:ind w:left="0" w:hanging="0"/>
        <w:jc w:val="left"/>
        <w:rPr/>
      </w:pPr>
      <w:r>
        <w:rPr>
          <w:b/>
          <w:sz w:val="25"/>
        </w:rPr>
        <w:t xml:space="preserve"> </w:t>
      </w:r>
    </w:p>
    <w:p>
      <w:pPr>
        <w:pStyle w:val="Normal"/>
        <w:numPr>
          <w:ilvl w:val="1"/>
          <w:numId w:val="4"/>
        </w:numPr>
        <w:spacing w:lineRule="auto" w:line="266" w:before="0" w:after="5"/>
        <w:ind w:left="964" w:right="58" w:hanging="403"/>
        <w:rPr/>
      </w:pPr>
      <w:r>
        <w:rPr>
          <w:b/>
        </w:rPr>
        <w:t xml:space="preserve">I do not improperly use knowledge gained solely as a result of my role as a councillor for the advancement of myself, my friends, my family members, my employer or my business interests.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prevent anyone from getting information that they are entitled to by law. </w:t>
      </w:r>
    </w:p>
    <w:p>
      <w:pPr>
        <w:pStyle w:val="Normal"/>
        <w:spacing w:lineRule="auto" w:line="259" w:before="0" w:after="62"/>
        <w:ind w:left="0" w:hanging="0"/>
        <w:jc w:val="left"/>
        <w:rPr/>
      </w:pPr>
      <w:r>
        <w:rPr/>
        <w:t xml:space="preserve"> </w:t>
      </w:r>
    </w:p>
    <w:p>
      <w:pPr>
        <w:pStyle w:val="Normal"/>
        <w:spacing w:lineRule="auto" w:line="264" w:before="0" w:after="91"/>
        <w:ind w:left="10" w:right="57" w:hanging="10"/>
        <w:jc w:val="left"/>
        <w:rPr/>
      </w:pPr>
      <w:r>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pPr>
        <w:pStyle w:val="Normal"/>
        <w:spacing w:lineRule="auto" w:line="259" w:before="0" w:after="49"/>
        <w:ind w:left="0" w:hanging="0"/>
        <w:jc w:val="left"/>
        <w:rPr/>
      </w:pPr>
      <w:r>
        <w:rPr/>
        <w:t xml:space="preserve"> </w:t>
      </w:r>
    </w:p>
    <w:p>
      <w:pPr>
        <w:pStyle w:val="Normal"/>
        <w:numPr>
          <w:ilvl w:val="0"/>
          <w:numId w:val="4"/>
        </w:numPr>
        <w:spacing w:lineRule="auto" w:line="266" w:before="0" w:after="5"/>
        <w:ind w:left="610" w:right="58" w:hanging="466"/>
        <w:rPr/>
      </w:pPr>
      <w:r>
        <w:rPr>
          <w:b/>
        </w:rPr>
        <w:t xml:space="preserve">Disrepute as a councillor: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bring my role or local authority into disrepute. </w:t>
      </w:r>
    </w:p>
    <w:p>
      <w:pPr>
        <w:pStyle w:val="Normal"/>
        <w:spacing w:lineRule="auto" w:line="259" w:before="0" w:after="15"/>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uphold and have respect for the law. </w:t>
      </w:r>
    </w:p>
    <w:p>
      <w:pPr>
        <w:pStyle w:val="Normal"/>
        <w:spacing w:lineRule="auto" w:line="259" w:before="0" w:after="95"/>
        <w:ind w:left="216" w:hanging="0"/>
        <w:jc w:val="left"/>
        <w:rPr/>
      </w:pPr>
      <w:r>
        <w:rPr/>
        <w:t xml:space="preserve"> </w:t>
      </w:r>
    </w:p>
    <w:p>
      <w:pPr>
        <w:pStyle w:val="Normal"/>
        <w:spacing w:lineRule="auto" w:line="264" w:before="0" w:after="119"/>
        <w:ind w:left="211" w:right="57" w:hanging="10"/>
        <w:jc w:val="left"/>
        <w:rPr/>
      </w:pPr>
      <w:r>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unlawful and/or deceitful can bring your local authority into disrepute. </w:t>
      </w:r>
    </w:p>
    <w:p>
      <w:pPr>
        <w:pStyle w:val="Normal"/>
        <w:spacing w:before="0" w:after="117"/>
        <w:ind w:left="211" w:right="182" w:hanging="10"/>
        <w:rPr/>
      </w:pPr>
      <w:r>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pPr>
        <w:pStyle w:val="Normal"/>
        <w:spacing w:lineRule="auto" w:line="259" w:before="0" w:after="159"/>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Use of position as a councillor: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use, or attempt to use, my position improperly to the advantage or disadvantage of myself or anyone else.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place myself under a financial or other obligation to outside individuals or organisations that might seek to influence me in the performance of my official duties.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make all choices, such as making public appointments, awarding contracts or recommending individuals for rewards or benefits, on merit.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am accountable for my decisions to the public and cooperate fully with whatever scrutiny is appropriate to my office. </w:t>
      </w:r>
    </w:p>
    <w:p>
      <w:pPr>
        <w:pStyle w:val="Normal"/>
        <w:spacing w:lineRule="auto" w:line="259" w:before="0" w:after="54"/>
        <w:ind w:left="576" w:hanging="0"/>
        <w:jc w:val="left"/>
        <w:rPr/>
      </w:pPr>
      <w:r>
        <w:rPr>
          <w:b/>
        </w:rPr>
        <w:t xml:space="preserve"> </w:t>
      </w:r>
    </w:p>
    <w:p>
      <w:pPr>
        <w:pStyle w:val="Normal"/>
        <w:numPr>
          <w:ilvl w:val="1"/>
          <w:numId w:val="4"/>
        </w:numPr>
        <w:spacing w:lineRule="auto" w:line="276" w:before="0" w:after="1"/>
        <w:ind w:left="964" w:right="58" w:hanging="403"/>
        <w:rPr/>
      </w:pPr>
      <w:r>
        <w:rPr>
          <w:b/>
        </w:rPr>
        <w:t xml:space="preserve">I am as open as possible about my decisions and actions and the decisions and actions of my authority and prepared to give reasons for those decisions and actions, in accordance with statutory requirements or any additional requirements made by the council. </w:t>
      </w:r>
    </w:p>
    <w:p>
      <w:pPr>
        <w:pStyle w:val="Normal"/>
        <w:spacing w:lineRule="auto" w:line="259" w:before="0" w:after="71"/>
        <w:ind w:left="216" w:hanging="0"/>
        <w:jc w:val="left"/>
        <w:rPr/>
      </w:pPr>
      <w:r>
        <w:rPr/>
        <w:t xml:space="preserve"> </w:t>
      </w:r>
    </w:p>
    <w:p>
      <w:pPr>
        <w:pStyle w:val="Normal"/>
        <w:ind w:left="211" w:right="329" w:hanging="10"/>
        <w:rPr/>
      </w:pPr>
      <w:r>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pPr>
        <w:pStyle w:val="Normal"/>
        <w:spacing w:lineRule="auto" w:line="259" w:before="0" w:after="131"/>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Use of local authority resources and facilities as a councillor: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do not misuse council resources. </w:t>
      </w:r>
    </w:p>
    <w:p>
      <w:pPr>
        <w:pStyle w:val="Normal"/>
        <w:spacing w:lineRule="auto" w:line="259" w:before="0" w:after="21"/>
        <w:ind w:left="216" w:hanging="0"/>
        <w:jc w:val="left"/>
        <w:rPr/>
      </w:pPr>
      <w:r>
        <w:rPr/>
        <w:t xml:space="preserve"> </w:t>
      </w:r>
    </w:p>
    <w:p>
      <w:pPr>
        <w:pStyle w:val="Normal"/>
        <w:numPr>
          <w:ilvl w:val="1"/>
          <w:numId w:val="4"/>
        </w:numPr>
        <w:spacing w:lineRule="auto" w:line="266" w:before="0" w:after="37"/>
        <w:ind w:left="964" w:right="58" w:hanging="403"/>
        <w:rPr/>
      </w:pPr>
      <w:r>
        <w:rPr>
          <w:b/>
        </w:rPr>
        <w:t xml:space="preserve">I will, when using the resources of the local authority or authorising their use by others: </w:t>
      </w:r>
    </w:p>
    <w:p>
      <w:pPr>
        <w:pStyle w:val="Normal"/>
        <w:numPr>
          <w:ilvl w:val="3"/>
          <w:numId w:val="8"/>
        </w:numPr>
        <w:spacing w:lineRule="auto" w:line="266" w:before="0" w:after="33"/>
        <w:ind w:left="1657" w:right="104" w:hanging="720"/>
        <w:rPr/>
      </w:pPr>
      <w:r>
        <w:rPr>
          <w:b/>
        </w:rPr>
        <w:t xml:space="preserve">act in accordance with the local authority's requirements; and </w:t>
      </w:r>
    </w:p>
    <w:p>
      <w:pPr>
        <w:pStyle w:val="Normal"/>
        <w:numPr>
          <w:ilvl w:val="3"/>
          <w:numId w:val="8"/>
        </w:numPr>
        <w:spacing w:lineRule="auto" w:line="266" w:before="0" w:after="5"/>
        <w:ind w:left="1657" w:right="104" w:hanging="720"/>
        <w:rPr/>
      </w:pPr>
      <w:r>
        <w:rPr>
          <w:b/>
        </w:rPr>
        <w:t xml:space="preserve">ensure that such resources are not used for political purposes unless that use could reasonably be regarded as likely to facilitate, or be conducive to, the discharge of the functions of the local authority or of the office to which I have been elected or appointed. </w:t>
      </w:r>
    </w:p>
    <w:p>
      <w:pPr>
        <w:pStyle w:val="Normal"/>
        <w:spacing w:lineRule="auto" w:line="259" w:before="0" w:after="71"/>
        <w:ind w:left="216" w:hanging="0"/>
        <w:jc w:val="left"/>
        <w:rPr/>
      </w:pPr>
      <w:r>
        <w:rPr/>
        <w:t xml:space="preserve"> </w:t>
      </w:r>
    </w:p>
    <w:p>
      <w:pPr>
        <w:pStyle w:val="Normal"/>
        <w:spacing w:before="0" w:after="135"/>
        <w:ind w:left="211" w:right="73" w:hanging="10"/>
        <w:rPr/>
      </w:pPr>
      <w:r>
        <w:rPr/>
        <w:t xml:space="preserve">You may be provided with resources and facilities by the local authority to assist you in carrying out your duties as a councillor. </w:t>
      </w:r>
    </w:p>
    <w:p>
      <w:pPr>
        <w:pStyle w:val="Normal"/>
        <w:spacing w:before="0" w:after="180"/>
        <w:ind w:left="211" w:right="73" w:hanging="10"/>
        <w:rPr/>
      </w:pPr>
      <w:r>
        <w:rPr/>
        <w:t xml:space="preserve">Examples include: </w:t>
      </w:r>
    </w:p>
    <w:p>
      <w:pPr>
        <w:pStyle w:val="Normal"/>
        <w:numPr>
          <w:ilvl w:val="2"/>
          <w:numId w:val="4"/>
        </w:numPr>
        <w:spacing w:before="0" w:after="53"/>
        <w:ind w:left="1008" w:right="73" w:hanging="360"/>
        <w:rPr/>
      </w:pPr>
      <w:r>
        <w:rPr/>
        <w:t xml:space="preserve">office support </w:t>
      </w:r>
    </w:p>
    <w:p>
      <w:pPr>
        <w:pStyle w:val="Normal"/>
        <w:numPr>
          <w:ilvl w:val="2"/>
          <w:numId w:val="4"/>
        </w:numPr>
        <w:spacing w:before="0" w:after="47"/>
        <w:ind w:left="1008" w:right="73" w:hanging="360"/>
        <w:rPr/>
      </w:pPr>
      <w:r>
        <w:rPr/>
        <w:t xml:space="preserve">stationery </w:t>
      </w:r>
    </w:p>
    <w:p>
      <w:pPr>
        <w:pStyle w:val="Normal"/>
        <w:numPr>
          <w:ilvl w:val="2"/>
          <w:numId w:val="4"/>
        </w:numPr>
        <w:spacing w:before="0" w:after="58"/>
        <w:ind w:left="1008" w:right="73" w:hanging="360"/>
        <w:rPr/>
      </w:pPr>
      <w:r>
        <w:rPr/>
        <w:t xml:space="preserve">equipment such as phones, and computers </w:t>
      </w:r>
    </w:p>
    <w:p>
      <w:pPr>
        <w:pStyle w:val="Normal"/>
        <w:numPr>
          <w:ilvl w:val="2"/>
          <w:numId w:val="4"/>
        </w:numPr>
        <w:spacing w:before="0" w:after="109"/>
        <w:ind w:left="1008" w:right="73" w:hanging="360"/>
        <w:rPr/>
      </w:pPr>
      <w:r>
        <w:rPr/>
        <w:t xml:space="preserve">transport </w:t>
      </w:r>
    </w:p>
    <w:p>
      <w:pPr>
        <w:pStyle w:val="Normal"/>
        <w:numPr>
          <w:ilvl w:val="2"/>
          <w:numId w:val="4"/>
        </w:numPr>
        <w:ind w:left="1008" w:right="73" w:hanging="360"/>
        <w:rPr/>
      </w:pPr>
      <w:r>
        <w:rPr/>
        <w:t xml:space="preserve">access and use of local authority buildings and rooms. </w:t>
      </w:r>
    </w:p>
    <w:p>
      <w:pPr>
        <w:pStyle w:val="Normal"/>
        <w:spacing w:lineRule="auto" w:line="259" w:before="0" w:after="0"/>
        <w:ind w:left="216" w:hanging="0"/>
        <w:jc w:val="left"/>
        <w:rPr/>
      </w:pPr>
      <w:r>
        <w:rPr/>
        <w:t xml:space="preserve"> </w:t>
      </w:r>
    </w:p>
    <w:p>
      <w:pPr>
        <w:pStyle w:val="Normal"/>
        <w:ind w:left="211" w:right="178" w:hanging="10"/>
        <w:rPr/>
      </w:pPr>
      <w:r>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pPr>
        <w:pStyle w:val="Normal"/>
        <w:spacing w:lineRule="auto" w:line="259" w:before="0" w:after="0"/>
        <w:ind w:left="216" w:hanging="0"/>
        <w:jc w:val="left"/>
        <w:rPr/>
      </w:pPr>
      <w:r>
        <w:rPr/>
        <w:t xml:space="preserve"> </w:t>
      </w:r>
    </w:p>
    <w:p>
      <w:pPr>
        <w:pStyle w:val="Normal"/>
        <w:spacing w:lineRule="auto" w:line="259" w:before="0" w:after="0"/>
        <w:ind w:left="216" w:hanging="0"/>
        <w:jc w:val="left"/>
        <w:rPr/>
      </w:pPr>
      <w:r>
        <w:rPr/>
      </w:r>
    </w:p>
    <w:p>
      <w:pPr>
        <w:pStyle w:val="Normal"/>
        <w:spacing w:lineRule="auto" w:line="259" w:before="0" w:after="0"/>
        <w:ind w:left="216" w:hanging="0"/>
        <w:jc w:val="left"/>
        <w:rPr/>
      </w:pPr>
      <w:r>
        <w:rPr/>
      </w:r>
    </w:p>
    <w:p>
      <w:pPr>
        <w:pStyle w:val="Normal"/>
        <w:spacing w:lineRule="auto" w:line="259" w:before="0" w:after="0"/>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Complying with the Code of Conduct as a Councillor: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undertake Code of Conduct training provided by my local authority. </w:t>
      </w:r>
    </w:p>
    <w:p>
      <w:pPr>
        <w:pStyle w:val="Normal"/>
        <w:spacing w:lineRule="auto" w:line="259" w:before="0" w:after="16"/>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cooperate with any Code of Conduct investigation and/or determination. </w:t>
      </w:r>
    </w:p>
    <w:p>
      <w:pPr>
        <w:pStyle w:val="Normal"/>
        <w:spacing w:lineRule="auto" w:line="259" w:before="0" w:after="36"/>
        <w:ind w:left="0" w:hanging="0"/>
        <w:jc w:val="left"/>
        <w:rPr/>
      </w:pPr>
      <w:r>
        <w:rPr>
          <w:b/>
          <w:sz w:val="24"/>
        </w:rPr>
        <w:t xml:space="preserve"> </w:t>
      </w:r>
    </w:p>
    <w:p>
      <w:pPr>
        <w:pStyle w:val="Normal"/>
        <w:numPr>
          <w:ilvl w:val="1"/>
          <w:numId w:val="4"/>
        </w:numPr>
        <w:spacing w:lineRule="auto" w:line="266" w:before="0" w:after="5"/>
        <w:ind w:left="964" w:right="58" w:hanging="403"/>
        <w:rPr/>
      </w:pPr>
      <w:r>
        <w:rPr>
          <w:b/>
        </w:rPr>
        <w:t xml:space="preserve">I do not intimidate or attempt to intimidate any person who is likely to be involved with the administration of any investigation or proceedings. </w:t>
      </w:r>
    </w:p>
    <w:p>
      <w:pPr>
        <w:pStyle w:val="Normal"/>
        <w:spacing w:lineRule="auto" w:line="259" w:before="0" w:after="47"/>
        <w:ind w:left="0" w:hanging="0"/>
        <w:jc w:val="left"/>
        <w:rPr/>
      </w:pPr>
      <w:r>
        <w:rPr>
          <w:b/>
          <w:sz w:val="23"/>
        </w:rPr>
        <w:t xml:space="preserve"> </w:t>
      </w:r>
    </w:p>
    <w:p>
      <w:pPr>
        <w:pStyle w:val="Normal"/>
        <w:numPr>
          <w:ilvl w:val="1"/>
          <w:numId w:val="4"/>
        </w:numPr>
        <w:spacing w:lineRule="auto" w:line="266" w:before="0" w:after="5"/>
        <w:ind w:left="964" w:right="58" w:hanging="403"/>
        <w:rPr/>
      </w:pPr>
      <w:r>
        <w:rPr>
          <w:b/>
        </w:rPr>
        <w:t xml:space="preserve">I comply with any sanction imposed on me following a finding that I have breached the Code of Conduct. </w:t>
      </w:r>
    </w:p>
    <w:p>
      <w:pPr>
        <w:pStyle w:val="Normal"/>
        <w:spacing w:lineRule="auto" w:line="259" w:before="0" w:after="86"/>
        <w:ind w:left="216" w:hanging="0"/>
        <w:jc w:val="left"/>
        <w:rPr/>
      </w:pPr>
      <w:r>
        <w:rPr/>
        <w:t xml:space="preserve"> </w:t>
      </w:r>
    </w:p>
    <w:p>
      <w:pPr>
        <w:pStyle w:val="Normal"/>
        <w:ind w:left="211" w:right="73" w:hanging="10"/>
        <w:rPr/>
      </w:pPr>
      <w:r>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pPr>
        <w:pStyle w:val="Normal"/>
        <w:spacing w:lineRule="auto" w:line="259" w:before="0" w:after="0"/>
        <w:ind w:left="216" w:hanging="0"/>
        <w:jc w:val="left"/>
        <w:rPr/>
      </w:pPr>
      <w:r>
        <w:rPr/>
        <w:t xml:space="preserve"> </w:t>
      </w:r>
    </w:p>
    <w:p>
      <w:pPr>
        <w:pStyle w:val="Normal"/>
        <w:spacing w:lineRule="auto" w:line="266" w:before="0" w:after="5"/>
        <w:ind w:left="10" w:right="58" w:hanging="10"/>
        <w:rPr/>
      </w:pPr>
      <w:r>
        <w:rPr>
          <w:b/>
        </w:rPr>
        <w:t xml:space="preserve">Protecting your reputation and the reputation of the local authority </w:t>
      </w:r>
    </w:p>
    <w:p>
      <w:pPr>
        <w:pStyle w:val="Normal"/>
        <w:spacing w:lineRule="auto" w:line="259" w:before="0" w:after="198"/>
        <w:ind w:left="216" w:hanging="0"/>
        <w:jc w:val="left"/>
        <w:rPr/>
      </w:pPr>
      <w:r>
        <w:rPr/>
        <w:t xml:space="preserve"> </w:t>
      </w:r>
    </w:p>
    <w:p>
      <w:pPr>
        <w:pStyle w:val="Normal"/>
        <w:numPr>
          <w:ilvl w:val="0"/>
          <w:numId w:val="4"/>
        </w:numPr>
        <w:spacing w:lineRule="auto" w:line="266" w:before="0" w:after="5"/>
        <w:ind w:left="610" w:right="58" w:hanging="466"/>
        <w:rPr/>
      </w:pPr>
      <w:r>
        <w:rPr>
          <w:b/>
        </w:rPr>
        <w:t xml:space="preserve">Interests as a councillor: </w:t>
      </w:r>
    </w:p>
    <w:p>
      <w:pPr>
        <w:pStyle w:val="Normal"/>
        <w:spacing w:lineRule="auto" w:line="259" w:before="0" w:after="15"/>
        <w:ind w:left="216" w:hanging="0"/>
        <w:jc w:val="left"/>
        <w:rPr/>
      </w:pPr>
      <w:r>
        <w:rPr/>
        <w:t xml:space="preserve"> </w:t>
      </w:r>
    </w:p>
    <w:p>
      <w:pPr>
        <w:pStyle w:val="Normal"/>
        <w:numPr>
          <w:ilvl w:val="1"/>
          <w:numId w:val="4"/>
        </w:numPr>
        <w:spacing w:lineRule="auto" w:line="266" w:before="0" w:after="5"/>
        <w:ind w:left="964" w:right="58" w:hanging="403"/>
        <w:rPr/>
      </w:pPr>
      <w:r>
        <w:rPr>
          <w:b/>
        </w:rPr>
        <w:t xml:space="preserve">I register and disclose my interests. </w:t>
      </w:r>
    </w:p>
    <w:p>
      <w:pPr>
        <w:pStyle w:val="Normal"/>
        <w:spacing w:lineRule="auto" w:line="259" w:before="0" w:after="101"/>
        <w:ind w:left="216" w:hanging="0"/>
        <w:jc w:val="left"/>
        <w:rPr/>
      </w:pPr>
      <w:r>
        <w:rPr/>
        <w:t xml:space="preserve"> </w:t>
      </w:r>
    </w:p>
    <w:p>
      <w:pPr>
        <w:pStyle w:val="Normal"/>
        <w:spacing w:before="0" w:after="140"/>
        <w:ind w:left="211" w:right="73" w:hanging="10"/>
        <w:rPr/>
      </w:pPr>
      <w:r>
        <w:rPr/>
        <w:t xml:space="preserve">Section 29 of the Localism Act 2011 requires the Monitoring Officer/Clerk to establish and maintain a register of interests of members of the authority. </w:t>
      </w:r>
    </w:p>
    <w:p>
      <w:pPr>
        <w:pStyle w:val="Normal"/>
        <w:spacing w:lineRule="auto" w:line="264" w:before="0" w:after="101"/>
        <w:ind w:left="211" w:right="57" w:hanging="10"/>
        <w:jc w:val="left"/>
        <w:rPr/>
      </w:pPr>
      <w:r>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pPr>
        <w:pStyle w:val="Normal"/>
        <w:spacing w:before="0" w:after="112"/>
        <w:ind w:left="211" w:right="73" w:hanging="10"/>
        <w:rPr/>
      </w:pPr>
      <w:r>
        <w:rPr/>
        <w:t xml:space="preserve">You should note that failure to register or disclose a disclosable pecuniary interest as set out in </w:t>
      </w:r>
      <w:r>
        <w:rPr>
          <w:b/>
        </w:rPr>
        <w:t>Table 1</w:t>
      </w:r>
      <w:r>
        <w:rPr/>
        <w:t xml:space="preserve">, is a criminal offence under the Localism Act 2011. </w:t>
      </w:r>
    </w:p>
    <w:p>
      <w:pPr>
        <w:pStyle w:val="Normal"/>
        <w:ind w:left="211" w:right="73" w:hanging="10"/>
        <w:rPr/>
      </w:pPr>
      <w:r>
        <w:rPr>
          <w:b/>
        </w:rPr>
        <w:t xml:space="preserve">Appendix B sets </w:t>
      </w:r>
      <w:r>
        <w:rPr/>
        <w:t xml:space="preserve">out the detailed provisions on registering and disclosing interests. If in doubt, you should always seek advice from your Clerk/Monitoring Officer. </w:t>
      </w:r>
    </w:p>
    <w:p>
      <w:pPr>
        <w:pStyle w:val="Normal"/>
        <w:spacing w:lineRule="auto" w:line="259" w:before="0" w:after="0"/>
        <w:ind w:left="216" w:hanging="0"/>
        <w:jc w:val="left"/>
        <w:rPr/>
      </w:pPr>
      <w:r>
        <w:rPr/>
        <w:t xml:space="preserve"> </w:t>
      </w:r>
    </w:p>
    <w:p>
      <w:pPr>
        <w:pStyle w:val="Normal"/>
        <w:spacing w:lineRule="auto" w:line="259" w:before="0" w:after="0"/>
        <w:ind w:left="216" w:hanging="0"/>
        <w:jc w:val="left"/>
        <w:rPr/>
      </w:pPr>
      <w:r>
        <w:rPr/>
        <w:t xml:space="preserve"> </w:t>
      </w:r>
    </w:p>
    <w:p>
      <w:pPr>
        <w:pStyle w:val="Normal"/>
        <w:spacing w:lineRule="auto" w:line="259" w:before="0" w:after="0"/>
        <w:ind w:left="216" w:hanging="0"/>
        <w:jc w:val="left"/>
        <w:rPr/>
      </w:pPr>
      <w:r>
        <w:rPr/>
        <w:t xml:space="preserve"> </w:t>
      </w:r>
    </w:p>
    <w:p>
      <w:pPr>
        <w:pStyle w:val="Normal"/>
        <w:spacing w:lineRule="auto" w:line="266" w:before="0" w:after="5"/>
        <w:ind w:left="154" w:right="58" w:hanging="10"/>
        <w:rPr/>
      </w:pPr>
      <w:r>
        <w:rPr>
          <w:b/>
          <w:sz w:val="24"/>
        </w:rPr>
        <w:t xml:space="preserve">10. </w:t>
      </w:r>
      <w:r>
        <w:rPr>
          <w:b/>
        </w:rPr>
        <w:t xml:space="preserve">Gifts and hospitality as a councillor: </w:t>
      </w:r>
    </w:p>
    <w:p>
      <w:pPr>
        <w:pStyle w:val="Normal"/>
        <w:ind w:left="211" w:right="236" w:hanging="10"/>
        <w:rPr/>
      </w:pPr>
      <w:r>
        <w:rPr/>
        <w:t xml:space="preserve">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 </w:t>
      </w:r>
    </w:p>
    <w:p>
      <w:pPr>
        <w:pStyle w:val="Normal"/>
        <w:spacing w:lineRule="auto" w:line="259" w:before="0" w:after="16"/>
        <w:ind w:left="216" w:hanging="0"/>
        <w:jc w:val="left"/>
        <w:rPr/>
      </w:pPr>
      <w:r>
        <w:rPr/>
        <w:t xml:space="preserve"> </w:t>
      </w:r>
    </w:p>
    <w:p>
      <w:pPr>
        <w:pStyle w:val="Normal"/>
        <w:spacing w:lineRule="auto" w:line="266" w:before="0" w:after="45"/>
        <w:ind w:left="1377" w:right="204" w:hanging="816"/>
        <w:rPr/>
      </w:pPr>
      <w:r>
        <w:rPr>
          <w:b/>
          <w:sz w:val="24"/>
        </w:rPr>
        <w:t xml:space="preserve">10.1 </w:t>
      </w:r>
      <w:r>
        <w:rPr>
          <w:b/>
        </w:rPr>
        <w:t xml:space="preserve">I register with the Clerk any gift or hospitality with an  estimated value of at least £50 within 28 days of its receipt and details of the donor (Details will be kept on a Councillor Gifts and Hospitality register and published on the </w:t>
      </w:r>
    </w:p>
    <w:p>
      <w:pPr>
        <w:pStyle w:val="Normal"/>
        <w:spacing w:lineRule="auto" w:line="266" w:before="0" w:after="5"/>
        <w:ind w:left="1403" w:right="58" w:hanging="10"/>
        <w:rPr/>
      </w:pPr>
      <w:r>
        <w:rPr>
          <w:b/>
        </w:rPr>
        <w:t xml:space="preserve">Council’s website). </w:t>
      </w:r>
    </w:p>
    <w:p>
      <w:pPr>
        <w:pStyle w:val="Normal"/>
        <w:spacing w:lineRule="auto" w:line="259" w:before="0" w:after="16"/>
        <w:ind w:left="216" w:hanging="0"/>
        <w:jc w:val="left"/>
        <w:rPr/>
      </w:pPr>
      <w:r>
        <w:rPr/>
        <w:t xml:space="preserve"> </w:t>
      </w:r>
    </w:p>
    <w:p>
      <w:pPr>
        <w:pStyle w:val="Normal"/>
        <w:spacing w:lineRule="auto" w:line="266" w:before="0" w:after="5"/>
        <w:ind w:left="1377" w:right="58" w:hanging="816"/>
        <w:rPr/>
      </w:pPr>
      <w:r>
        <w:rPr>
          <w:b/>
          <w:sz w:val="24"/>
        </w:rPr>
        <w:t xml:space="preserve">10.2 </w:t>
      </w:r>
      <w:r>
        <w:rPr>
          <w:b/>
        </w:rPr>
        <w:t xml:space="preserve">I register with the Clerk any significant gift or hospitality that I have been offered but have refused to accept. </w:t>
      </w:r>
    </w:p>
    <w:p>
      <w:pPr>
        <w:pStyle w:val="Normal"/>
        <w:spacing w:lineRule="auto" w:line="259" w:before="0" w:after="81"/>
        <w:ind w:left="0" w:hanging="0"/>
        <w:jc w:val="left"/>
        <w:rPr/>
      </w:pPr>
      <w:r>
        <w:rPr/>
        <w:t xml:space="preserve"> </w:t>
      </w:r>
    </w:p>
    <w:p>
      <w:pPr>
        <w:pStyle w:val="Normal"/>
        <w:spacing w:lineRule="auto" w:line="264" w:before="0" w:after="5"/>
        <w:ind w:left="211" w:right="57" w:hanging="10"/>
        <w:jc w:val="left"/>
        <w:rPr/>
      </w:pPr>
      <w:r>
        <w:rP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pPr>
        <w:pStyle w:val="Normal"/>
        <w:spacing w:lineRule="auto" w:line="259" w:before="0" w:after="115"/>
        <w:ind w:left="216" w:hanging="0"/>
        <w:jc w:val="left"/>
        <w:rPr/>
      </w:pPr>
      <w:r>
        <w:rPr/>
        <w:t xml:space="preserve"> </w:t>
      </w:r>
    </w:p>
    <w:p>
      <w:pPr>
        <w:pStyle w:val="Normal"/>
        <w:numPr>
          <w:ilvl w:val="0"/>
          <w:numId w:val="9"/>
        </w:numPr>
        <w:spacing w:lineRule="auto" w:line="266" w:before="0" w:after="5"/>
        <w:ind w:left="567" w:right="58" w:hanging="423"/>
        <w:rPr/>
      </w:pPr>
      <w:r>
        <w:rPr>
          <w:b/>
        </w:rPr>
        <w:t xml:space="preserve">Conduct as a councillor: </w:t>
      </w:r>
    </w:p>
    <w:p>
      <w:pPr>
        <w:pStyle w:val="Normal"/>
        <w:spacing w:lineRule="auto" w:line="259" w:before="0" w:after="117"/>
        <w:ind w:left="216" w:hanging="0"/>
        <w:jc w:val="left"/>
        <w:rPr/>
      </w:pPr>
      <w:r>
        <w:rPr/>
        <w:t xml:space="preserve"> </w:t>
      </w:r>
    </w:p>
    <w:p>
      <w:pPr>
        <w:pStyle w:val="Normal"/>
        <w:numPr>
          <w:ilvl w:val="1"/>
          <w:numId w:val="9"/>
        </w:numPr>
        <w:spacing w:lineRule="auto" w:line="276" w:before="0" w:after="1"/>
        <w:ind w:left="974" w:right="48" w:hanging="413"/>
        <w:jc w:val="left"/>
        <w:rPr/>
      </w:pPr>
      <w:r>
        <w:rPr>
          <w:b/>
        </w:rPr>
        <w:t xml:space="preserve">I promote and support high standards of conduct when serving in my public post, in particular as characterised by the above requirements, by leadership and example. </w:t>
      </w:r>
    </w:p>
    <w:p>
      <w:pPr>
        <w:pStyle w:val="Normal"/>
        <w:spacing w:lineRule="auto" w:line="259" w:before="0" w:after="116"/>
        <w:ind w:left="216" w:hanging="0"/>
        <w:jc w:val="left"/>
        <w:rPr/>
      </w:pPr>
      <w:r>
        <w:rPr/>
        <w:t xml:space="preserve"> </w:t>
      </w:r>
    </w:p>
    <w:p>
      <w:pPr>
        <w:pStyle w:val="Normal"/>
        <w:numPr>
          <w:ilvl w:val="1"/>
          <w:numId w:val="9"/>
        </w:numPr>
        <w:spacing w:lineRule="auto" w:line="276" w:before="0" w:after="1"/>
        <w:ind w:left="974" w:right="48" w:hanging="413"/>
        <w:jc w:val="left"/>
        <w:rPr/>
      </w:pPr>
      <w:r>
        <w:rPr>
          <w:b/>
        </w:rPr>
        <w:t xml:space="preserve">I am clear when communicating with the media or speaking in public that I do not give the impression I am acting in an official capacity when I am not. Nor should I express my own views in a way which misleads anyone reading or listening that it is official or agreed policy or position of the council when it is my own personal view or those of a political party or group of people of which I am a member. </w:t>
      </w:r>
    </w:p>
    <w:p>
      <w:pPr>
        <w:pStyle w:val="Normal"/>
        <w:spacing w:lineRule="auto" w:line="259" w:before="0" w:after="117"/>
        <w:ind w:left="0" w:hanging="0"/>
        <w:jc w:val="left"/>
        <w:rPr/>
      </w:pPr>
      <w:r>
        <w:rPr/>
        <w:t xml:space="preserve"> </w:t>
      </w:r>
    </w:p>
    <w:p>
      <w:pPr>
        <w:pStyle w:val="Normal"/>
        <w:numPr>
          <w:ilvl w:val="1"/>
          <w:numId w:val="9"/>
        </w:numPr>
        <w:spacing w:lineRule="auto" w:line="266" w:before="0" w:after="106"/>
        <w:ind w:left="974" w:right="48" w:hanging="413"/>
        <w:jc w:val="left"/>
        <w:rPr/>
      </w:pPr>
      <w:r>
        <w:rPr>
          <w:b/>
        </w:rPr>
        <w:t xml:space="preserve">I have regard to any applicable Local Authority Code of Publicity made under the Local Government Act 1986. </w:t>
      </w:r>
    </w:p>
    <w:p>
      <w:pPr>
        <w:sectPr>
          <w:headerReference w:type="default" r:id="rId13"/>
          <w:headerReference w:type="first" r:id="rId14"/>
          <w:footerReference w:type="default" r:id="rId15"/>
          <w:footerReference w:type="first" r:id="rId16"/>
          <w:type w:val="nextPage"/>
          <w:pgSz w:w="11928" w:h="16862"/>
          <w:pgMar w:left="1200" w:right="1150" w:header="12" w:top="2355" w:footer="720" w:bottom="1274" w:gutter="0"/>
          <w:pgNumType w:fmt="decimal"/>
          <w:formProt w:val="false"/>
          <w:titlePg/>
          <w:textDirection w:val="lrTb"/>
          <w:docGrid w:type="default" w:linePitch="100" w:charSpace="0"/>
        </w:sectPr>
        <w:pStyle w:val="Normal"/>
        <w:spacing w:lineRule="auto" w:line="259" w:before="0" w:after="0"/>
        <w:ind w:left="216" w:hanging="0"/>
        <w:jc w:val="left"/>
        <w:rPr/>
      </w:pPr>
      <w:r>
        <w:rPr/>
        <w:t xml:space="preserve"> </w:t>
      </w:r>
    </w:p>
    <w:p>
      <w:pPr>
        <w:pStyle w:val="Normal"/>
        <w:spacing w:lineRule="auto" w:line="266" w:before="0" w:after="140"/>
        <w:ind w:left="226" w:right="58" w:hanging="10"/>
        <w:rPr/>
      </w:pPr>
      <w:r>
        <w:rPr>
          <w:b/>
        </w:rPr>
        <w:t xml:space="preserve">Appendices </w:t>
      </w:r>
    </w:p>
    <w:p>
      <w:pPr>
        <w:pStyle w:val="Normal"/>
        <w:spacing w:lineRule="auto" w:line="266" w:before="0" w:after="120"/>
        <w:ind w:left="226" w:right="58" w:hanging="10"/>
        <w:rPr/>
      </w:pPr>
      <w:r>
        <w:rPr>
          <w:b/>
        </w:rPr>
        <w:t xml:space="preserve">Appendix A – The Seven Principles of Public Life </w:t>
      </w:r>
    </w:p>
    <w:p>
      <w:pPr>
        <w:pStyle w:val="Normal"/>
        <w:spacing w:lineRule="auto" w:line="259" w:before="0" w:after="19"/>
        <w:ind w:left="216" w:hanging="0"/>
        <w:jc w:val="left"/>
        <w:rPr/>
      </w:pPr>
      <w:r>
        <w:rPr/>
        <w:t xml:space="preserve"> </w:t>
      </w:r>
    </w:p>
    <w:p>
      <w:pPr>
        <w:pStyle w:val="Normal"/>
        <w:ind w:left="211" w:right="73" w:hanging="10"/>
        <w:rPr/>
      </w:pPr>
      <w:r>
        <w:rPr/>
        <w:t xml:space="preserve">The principles are: </w:t>
      </w:r>
    </w:p>
    <w:p>
      <w:pPr>
        <w:pStyle w:val="Normal"/>
        <w:spacing w:lineRule="auto" w:line="259" w:before="0" w:after="19"/>
        <w:ind w:left="216" w:hanging="0"/>
        <w:jc w:val="left"/>
        <w:rPr/>
      </w:pPr>
      <w:r>
        <w:rPr/>
        <w:t xml:space="preserve"> </w:t>
      </w:r>
    </w:p>
    <w:p>
      <w:pPr>
        <w:pStyle w:val="Normal"/>
        <w:spacing w:lineRule="auto" w:line="266" w:before="0" w:after="5"/>
        <w:ind w:left="226" w:right="58" w:hanging="10"/>
        <w:rPr/>
      </w:pPr>
      <w:r>
        <w:rPr>
          <w:b/>
        </w:rPr>
        <w:t xml:space="preserve">Selflessness </w:t>
      </w:r>
    </w:p>
    <w:p>
      <w:pPr>
        <w:pStyle w:val="Normal"/>
        <w:ind w:left="211" w:right="73" w:hanging="10"/>
        <w:rPr/>
      </w:pPr>
      <w:r>
        <w:rPr/>
        <w:t xml:space="preserve">Holders of public office should act solely in terms of the public interest. </w:t>
      </w:r>
    </w:p>
    <w:p>
      <w:pPr>
        <w:pStyle w:val="Normal"/>
        <w:spacing w:lineRule="auto" w:line="259" w:before="0" w:after="19"/>
        <w:ind w:left="216" w:hanging="0"/>
        <w:jc w:val="left"/>
        <w:rPr/>
      </w:pPr>
      <w:r>
        <w:rPr/>
        <w:t xml:space="preserve"> </w:t>
      </w:r>
    </w:p>
    <w:p>
      <w:pPr>
        <w:pStyle w:val="Normal"/>
        <w:spacing w:lineRule="auto" w:line="266" w:before="0" w:after="5"/>
        <w:ind w:left="226" w:right="58" w:hanging="10"/>
        <w:rPr/>
      </w:pPr>
      <w:r>
        <w:rPr>
          <w:b/>
        </w:rPr>
        <w:t xml:space="preserve">Integrity </w:t>
      </w:r>
    </w:p>
    <w:p>
      <w:pPr>
        <w:pStyle w:val="Normal"/>
        <w:ind w:left="211" w:hanging="10"/>
        <w:rPr/>
      </w:pPr>
      <w:r>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pPr>
        <w:pStyle w:val="Normal"/>
        <w:spacing w:lineRule="auto" w:line="259" w:before="0" w:after="14"/>
        <w:ind w:left="216" w:hanging="0"/>
        <w:jc w:val="left"/>
        <w:rPr/>
      </w:pPr>
      <w:r>
        <w:rPr/>
        <w:t xml:space="preserve"> </w:t>
      </w:r>
    </w:p>
    <w:p>
      <w:pPr>
        <w:pStyle w:val="Normal"/>
        <w:spacing w:lineRule="auto" w:line="266" w:before="0" w:after="5"/>
        <w:ind w:left="226" w:right="58" w:hanging="10"/>
        <w:rPr/>
      </w:pPr>
      <w:r>
        <w:rPr>
          <w:b/>
        </w:rPr>
        <w:t xml:space="preserve">Objectivity </w:t>
      </w:r>
    </w:p>
    <w:p>
      <w:pPr>
        <w:pStyle w:val="Normal"/>
        <w:ind w:left="211" w:hanging="10"/>
        <w:rPr/>
      </w:pPr>
      <w:r>
        <w:rPr/>
        <w:t xml:space="preserve">Holders of public office must act and take decisions impartially, fairly and on merit, using the best evidence and without discrimination or bias. </w:t>
      </w:r>
    </w:p>
    <w:p>
      <w:pPr>
        <w:pStyle w:val="Normal"/>
        <w:spacing w:lineRule="auto" w:line="259" w:before="0" w:after="19"/>
        <w:ind w:left="216" w:hanging="0"/>
        <w:jc w:val="left"/>
        <w:rPr/>
      </w:pPr>
      <w:r>
        <w:rPr/>
        <w:t xml:space="preserve"> </w:t>
      </w:r>
    </w:p>
    <w:p>
      <w:pPr>
        <w:pStyle w:val="Normal"/>
        <w:spacing w:lineRule="auto" w:line="266" w:before="0" w:after="5"/>
        <w:ind w:left="226" w:right="58" w:hanging="10"/>
        <w:rPr/>
      </w:pPr>
      <w:r>
        <w:rPr>
          <w:b/>
        </w:rPr>
        <w:t xml:space="preserve">Accountability </w:t>
      </w:r>
    </w:p>
    <w:p>
      <w:pPr>
        <w:pStyle w:val="Normal"/>
        <w:ind w:left="211" w:right="73" w:hanging="10"/>
        <w:rPr/>
      </w:pPr>
      <w:r>
        <w:rPr/>
        <w:t xml:space="preserve">Holders of public office are accountable to the public for their decisions and actions and must submit themselves to the scrutiny necessary to ensure this. </w:t>
      </w:r>
    </w:p>
    <w:p>
      <w:pPr>
        <w:pStyle w:val="Normal"/>
        <w:spacing w:lineRule="auto" w:line="259" w:before="0" w:after="14"/>
        <w:ind w:left="216" w:hanging="0"/>
        <w:jc w:val="left"/>
        <w:rPr/>
      </w:pPr>
      <w:r>
        <w:rPr/>
        <w:t xml:space="preserve"> </w:t>
      </w:r>
    </w:p>
    <w:p>
      <w:pPr>
        <w:pStyle w:val="Normal"/>
        <w:spacing w:lineRule="auto" w:line="266" w:before="0" w:after="5"/>
        <w:ind w:left="226" w:right="58" w:hanging="10"/>
        <w:rPr/>
      </w:pPr>
      <w:r>
        <w:rPr>
          <w:b/>
        </w:rPr>
        <w:t xml:space="preserve">Openness </w:t>
      </w:r>
    </w:p>
    <w:p>
      <w:pPr>
        <w:pStyle w:val="Normal"/>
        <w:ind w:left="211" w:right="73" w:hanging="10"/>
        <w:rPr/>
      </w:pPr>
      <w:r>
        <w:rPr/>
        <w:t xml:space="preserve">Holders of public office should act and take decisions in an open and transparent manner. Information should not be withheld from the public unless there are clear and lawful reasons for so doing. </w:t>
      </w:r>
    </w:p>
    <w:p>
      <w:pPr>
        <w:pStyle w:val="Normal"/>
        <w:spacing w:lineRule="auto" w:line="259" w:before="0" w:after="14"/>
        <w:ind w:left="216" w:hanging="0"/>
        <w:jc w:val="left"/>
        <w:rPr/>
      </w:pPr>
      <w:r>
        <w:rPr/>
        <w:t xml:space="preserve"> </w:t>
      </w:r>
    </w:p>
    <w:p>
      <w:pPr>
        <w:pStyle w:val="Normal"/>
        <w:spacing w:lineRule="auto" w:line="266" w:before="0" w:after="5"/>
        <w:ind w:left="226" w:right="58" w:hanging="10"/>
        <w:rPr/>
      </w:pPr>
      <w:r>
        <w:rPr>
          <w:b/>
        </w:rPr>
        <w:t xml:space="preserve">Honesty </w:t>
      </w:r>
    </w:p>
    <w:p>
      <w:pPr>
        <w:pStyle w:val="Normal"/>
        <w:ind w:left="211" w:right="73" w:hanging="10"/>
        <w:rPr/>
      </w:pPr>
      <w:r>
        <w:rPr/>
        <w:t xml:space="preserve">Holders of public office should be truthful. </w:t>
      </w:r>
    </w:p>
    <w:p>
      <w:pPr>
        <w:pStyle w:val="Normal"/>
        <w:spacing w:lineRule="auto" w:line="259" w:before="0" w:after="14"/>
        <w:ind w:left="216" w:hanging="0"/>
        <w:jc w:val="left"/>
        <w:rPr/>
      </w:pPr>
      <w:r>
        <w:rPr/>
        <w:t xml:space="preserve"> </w:t>
      </w:r>
    </w:p>
    <w:p>
      <w:pPr>
        <w:pStyle w:val="Normal"/>
        <w:spacing w:lineRule="auto" w:line="266" w:before="0" w:after="5"/>
        <w:ind w:left="226" w:right="58" w:hanging="10"/>
        <w:rPr/>
      </w:pPr>
      <w:r>
        <w:rPr>
          <w:b/>
        </w:rPr>
        <w:t xml:space="preserve">Leadership </w:t>
      </w:r>
    </w:p>
    <w:p>
      <w:pPr>
        <w:pStyle w:val="Normal"/>
        <w:spacing w:lineRule="auto" w:line="264" w:before="0" w:after="5"/>
        <w:ind w:left="211" w:right="57" w:hanging="10"/>
        <w:jc w:val="left"/>
        <w:rPr/>
      </w:pPr>
      <w:r>
        <w:rPr/>
        <w:t xml:space="preserve">Holders of public office should exhibit these principles in their own behaviour. They should actively promote and robustly support the principles and be willing to challenge poor behaviour wherever it occurs. </w:t>
      </w:r>
    </w:p>
    <w:p>
      <w:pPr>
        <w:pStyle w:val="Normal"/>
        <w:spacing w:lineRule="auto" w:line="259" w:before="0" w:after="0"/>
        <w:ind w:left="216" w:hanging="0"/>
        <w:jc w:val="left"/>
        <w:rPr/>
      </w:pPr>
      <w:r>
        <w:rPr/>
        <w:t xml:space="preserve"> </w:t>
      </w:r>
    </w:p>
    <w:p>
      <w:pPr>
        <w:pStyle w:val="Normal"/>
        <w:spacing w:lineRule="auto" w:line="266" w:before="0" w:after="115"/>
        <w:ind w:left="130" w:right="58" w:hanging="10"/>
        <w:rPr/>
      </w:pPr>
      <w:r>
        <w:rPr>
          <w:b/>
        </w:rPr>
        <w:t xml:space="preserve">Appendix B - Registering interests </w:t>
      </w:r>
    </w:p>
    <w:p>
      <w:pPr>
        <w:pStyle w:val="Normal"/>
        <w:ind w:left="130" w:right="73" w:hanging="10"/>
        <w:rPr/>
      </w:pPr>
      <w:r>
        <w:rPr/>
        <w:t xml:space="preserve">Within 28 days of becoming a member or your re-election or re-appointment to office you must </w:t>
      </w:r>
    </w:p>
    <w:p>
      <w:pPr>
        <w:pStyle w:val="Normal"/>
        <w:ind w:left="130" w:right="73" w:hanging="10"/>
        <w:rPr/>
      </w:pPr>
      <w:r>
        <w:rPr/>
        <w:t xml:space="preserve">register with the Clerk the interests which fall within the categories set out in </w:t>
      </w:r>
      <w:r>
        <w:rPr>
          <w:b/>
        </w:rPr>
        <w:t xml:space="preserve">Table 1 </w:t>
      </w:r>
    </w:p>
    <w:p>
      <w:pPr>
        <w:pStyle w:val="Normal"/>
        <w:spacing w:before="0" w:after="41"/>
        <w:ind w:left="130" w:right="73" w:hanging="10"/>
        <w:rPr/>
      </w:pPr>
      <w:r>
        <w:rPr/>
        <w:t>(</w:t>
      </w:r>
      <w:r>
        <w:rPr>
          <w:b/>
        </w:rPr>
        <w:t>Disclosable Pecuniary Interests</w:t>
      </w:r>
      <w:r>
        <w:rPr/>
        <w:t xml:space="preserve">) which are as described in “The Relevant Authorities </w:t>
      </w:r>
    </w:p>
    <w:p>
      <w:pPr>
        <w:pStyle w:val="Normal"/>
        <w:spacing w:lineRule="auto" w:line="264" w:before="0" w:after="5"/>
        <w:ind w:left="130" w:right="57" w:hanging="10"/>
        <w:jc w:val="left"/>
        <w:rPr/>
      </w:pPr>
      <w:r>
        <w:rPr/>
        <w:t xml:space="preserve">(Disclosable Pecuniary Interests) Regulations 2012”. You should also register details of your other personal interests which fall within the categories set out in </w:t>
      </w:r>
      <w:r>
        <w:rPr>
          <w:b/>
        </w:rPr>
        <w:t xml:space="preserve">Table 2 </w:t>
      </w:r>
      <w:r>
        <w:rPr/>
        <w:t>(</w:t>
      </w:r>
      <w:r>
        <w:rPr>
          <w:b/>
        </w:rPr>
        <w:t>Other Registerable Interests</w:t>
      </w:r>
      <w:r>
        <w:rPr/>
        <w:t xml:space="preserve">). </w:t>
      </w:r>
    </w:p>
    <w:p>
      <w:pPr>
        <w:pStyle w:val="Normal"/>
        <w:spacing w:lineRule="auto" w:line="259" w:before="0" w:after="0"/>
        <w:ind w:left="216" w:hanging="0"/>
        <w:jc w:val="left"/>
        <w:rPr/>
      </w:pPr>
      <w:r>
        <w:rPr/>
        <w:t xml:space="preserve"> </w:t>
      </w:r>
    </w:p>
    <w:p>
      <w:pPr>
        <w:pStyle w:val="Normal"/>
        <w:ind w:left="120" w:right="73" w:firstLine="62"/>
        <w:rPr/>
      </w:pPr>
      <w:r>
        <w:rPr/>
        <w:t>“</w:t>
      </w:r>
      <w:r>
        <w:rPr>
          <w:b/>
        </w:rPr>
        <w:t xml:space="preserve">Disclosable Pecuniary Interest” </w:t>
      </w:r>
      <w:r>
        <w:rPr/>
        <w:t xml:space="preserve">means an interest of yourself, or of your partner if you are aware of your partner's interest, within the descriptions set out in Table 1 below. </w:t>
      </w:r>
    </w:p>
    <w:p>
      <w:pPr>
        <w:pStyle w:val="Normal"/>
        <w:spacing w:lineRule="auto" w:line="259" w:before="0" w:after="0"/>
        <w:ind w:left="216" w:hanging="0"/>
        <w:jc w:val="left"/>
        <w:rPr/>
      </w:pPr>
      <w:r>
        <w:rPr/>
        <w:t xml:space="preserve"> </w:t>
      </w:r>
    </w:p>
    <w:p>
      <w:pPr>
        <w:pStyle w:val="Normal"/>
        <w:ind w:left="130" w:right="73" w:hanging="10"/>
        <w:rPr/>
      </w:pPr>
      <w:r>
        <w:rPr>
          <w:b/>
        </w:rPr>
        <w:t xml:space="preserve">"Partner" </w:t>
      </w:r>
      <w:r>
        <w:rPr/>
        <w:t xml:space="preserve">means a spouse or civil partner, or a person with whom you are living as husband or wife, or a person with whom you are living as if you are civil partners. </w:t>
      </w:r>
    </w:p>
    <w:p>
      <w:pPr>
        <w:pStyle w:val="Normal"/>
        <w:spacing w:lineRule="auto" w:line="259" w:before="0" w:after="55"/>
        <w:ind w:left="0" w:hanging="0"/>
        <w:jc w:val="left"/>
        <w:rPr/>
      </w:pPr>
      <w:r>
        <w:rPr/>
        <w:t xml:space="preserve"> </w:t>
      </w:r>
    </w:p>
    <w:p>
      <w:pPr>
        <w:pStyle w:val="Normal"/>
        <w:numPr>
          <w:ilvl w:val="0"/>
          <w:numId w:val="10"/>
        </w:numPr>
        <w:ind w:left="965" w:right="73" w:hanging="389"/>
        <w:rPr/>
      </w:pPr>
      <w:r>
        <w:rPr/>
        <w:t xml:space="preserve">You must ensure that your register of interests is kept up-to-date and within 28 days of becoming aware of any new interest, or of any change to a registered interest, notify the Clerk. </w:t>
      </w:r>
    </w:p>
    <w:p>
      <w:pPr>
        <w:pStyle w:val="Normal"/>
        <w:spacing w:lineRule="auto" w:line="259" w:before="0" w:after="66"/>
        <w:ind w:left="0" w:hanging="0"/>
        <w:jc w:val="left"/>
        <w:rPr/>
      </w:pPr>
      <w:r>
        <w:rPr>
          <w:sz w:val="24"/>
        </w:rPr>
        <w:t xml:space="preserve"> </w:t>
      </w:r>
    </w:p>
    <w:p>
      <w:pPr>
        <w:pStyle w:val="Normal"/>
        <w:numPr>
          <w:ilvl w:val="0"/>
          <w:numId w:val="10"/>
        </w:numPr>
        <w:ind w:left="965" w:right="73" w:hanging="389"/>
        <w:rPr/>
      </w:pPr>
      <w:r>
        <w:rPr/>
        <w:t xml:space="preserve">A ‘sensitive interest’ is as an interest which, if disclosed, could lead to the councillor, or a person connected with the councillor, being subject to violence or intimidation. </w:t>
      </w:r>
    </w:p>
    <w:p>
      <w:pPr>
        <w:pStyle w:val="Normal"/>
        <w:spacing w:lineRule="auto" w:line="259" w:before="0" w:after="55"/>
        <w:ind w:left="0" w:hanging="0"/>
        <w:jc w:val="left"/>
        <w:rPr/>
      </w:pPr>
      <w:r>
        <w:rPr>
          <w:sz w:val="23"/>
        </w:rPr>
        <w:t xml:space="preserve"> </w:t>
      </w:r>
    </w:p>
    <w:p>
      <w:pPr>
        <w:pStyle w:val="Normal"/>
        <w:numPr>
          <w:ilvl w:val="0"/>
          <w:numId w:val="10"/>
        </w:numPr>
        <w:ind w:left="965" w:right="73" w:hanging="389"/>
        <w:rPr/>
      </w:pPr>
      <w:r>
        <w:rPr/>
        <w:t xml:space="preserve">Where you have a ‘sensitive interest’ you must notify the Clerk with  the reasons why you believe it is a sensitive interest. If the Clerk (after consulting the Monitoring Officer) agrees they will withhold the interest from the public register. </w:t>
      </w:r>
    </w:p>
    <w:p>
      <w:pPr>
        <w:pStyle w:val="Normal"/>
        <w:spacing w:lineRule="auto" w:line="259" w:before="0" w:after="153"/>
        <w:ind w:left="216" w:hanging="0"/>
        <w:jc w:val="left"/>
        <w:rPr/>
      </w:pPr>
      <w:r>
        <w:rPr/>
        <w:t xml:space="preserve"> </w:t>
      </w:r>
    </w:p>
    <w:p>
      <w:pPr>
        <w:pStyle w:val="Normal"/>
        <w:spacing w:lineRule="auto" w:line="266" w:before="0" w:after="175"/>
        <w:ind w:left="130" w:right="58" w:hanging="10"/>
        <w:rPr/>
      </w:pPr>
      <w:r>
        <w:rPr>
          <w:b/>
        </w:rPr>
        <w:t xml:space="preserve">Non participation in case of disclosable pecuniary interest </w:t>
      </w:r>
    </w:p>
    <w:p>
      <w:pPr>
        <w:pStyle w:val="Normal"/>
        <w:numPr>
          <w:ilvl w:val="0"/>
          <w:numId w:val="10"/>
        </w:numPr>
        <w:spacing w:lineRule="auto" w:line="264" w:before="0" w:after="5"/>
        <w:ind w:left="965" w:right="73" w:hanging="389"/>
        <w:rPr/>
      </w:pPr>
      <w:r>
        <w:rPr/>
        <w:t xml:space="preserve">Where a matter arises at a meeting which directly relates to one of your Disclosable Pecuniary Interests as set out in </w:t>
      </w:r>
      <w:r>
        <w:rPr>
          <w:b/>
        </w:rPr>
        <w:t>Table 1</w:t>
      </w:r>
      <w:r>
        <w:rP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 </w:t>
      </w:r>
    </w:p>
    <w:p>
      <w:pPr>
        <w:pStyle w:val="Normal"/>
        <w:spacing w:lineRule="auto" w:line="259" w:before="0" w:after="177"/>
        <w:ind w:left="216" w:hanging="0"/>
        <w:jc w:val="left"/>
        <w:rPr/>
      </w:pPr>
      <w:r>
        <w:rPr/>
        <w:t xml:space="preserve"> </w:t>
      </w:r>
    </w:p>
    <w:p>
      <w:pPr>
        <w:pStyle w:val="Normal"/>
        <w:spacing w:lineRule="auto" w:line="266" w:before="0" w:after="45"/>
        <w:ind w:left="130" w:right="58" w:hanging="10"/>
        <w:rPr/>
      </w:pPr>
      <w:r>
        <w:rPr>
          <w:b/>
        </w:rPr>
        <w:t xml:space="preserve">Disclosure of Other Registerable Interests </w:t>
      </w:r>
    </w:p>
    <w:p>
      <w:pPr>
        <w:pStyle w:val="Normal"/>
        <w:numPr>
          <w:ilvl w:val="0"/>
          <w:numId w:val="10"/>
        </w:numPr>
        <w:ind w:left="965" w:right="73" w:hanging="389"/>
        <w:rPr/>
      </w:pPr>
      <w:r>
        <w:rPr/>
        <w:t xml:space="preserve">Where a matter arises at a meeting which </w:t>
      </w:r>
      <w:r>
        <w:rPr>
          <w:b/>
          <w:i/>
        </w:rPr>
        <w:t xml:space="preserve">directly relates </w:t>
      </w:r>
      <w:r>
        <w:rPr/>
        <w:t xml:space="preserve">to the financial interest or wellbeing of one of your Other Registerable Interests (as set out in </w:t>
      </w:r>
      <w:r>
        <w:rPr>
          <w:b/>
        </w:rPr>
        <w:t>Table 2</w:t>
      </w:r>
      <w:r>
        <w:rP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pPr>
        <w:pStyle w:val="Normal"/>
        <w:spacing w:lineRule="auto" w:line="266" w:before="0" w:after="5"/>
        <w:ind w:left="226" w:right="58" w:hanging="10"/>
        <w:rPr/>
      </w:pPr>
      <w:r>
        <w:rPr>
          <w:b/>
        </w:rPr>
        <w:t xml:space="preserve">Disclosure of Non-Registerable Interests </w:t>
      </w:r>
    </w:p>
    <w:p>
      <w:pPr>
        <w:pStyle w:val="Normal"/>
        <w:spacing w:lineRule="auto" w:line="259" w:before="0" w:after="55"/>
        <w:ind w:left="0" w:hanging="0"/>
        <w:jc w:val="left"/>
        <w:rPr/>
      </w:pPr>
      <w:r>
        <w:rPr>
          <w:b/>
        </w:rPr>
        <w:t xml:space="preserve"> </w:t>
      </w:r>
    </w:p>
    <w:p>
      <w:pPr>
        <w:pStyle w:val="Normal"/>
        <w:numPr>
          <w:ilvl w:val="0"/>
          <w:numId w:val="10"/>
        </w:numPr>
        <w:spacing w:before="0" w:after="43"/>
        <w:ind w:left="965" w:right="73" w:hanging="389"/>
        <w:rPr/>
      </w:pPr>
      <w:r>
        <w:rPr/>
        <w:t xml:space="preserve">Where a matter arises at a meeting which </w:t>
      </w:r>
      <w:r>
        <w:rPr>
          <w:b/>
          <w:i/>
        </w:rPr>
        <w:t xml:space="preserve">directly relates </w:t>
      </w:r>
      <w:r>
        <w:rPr/>
        <w:t xml:space="preserve">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w:t>
      </w:r>
    </w:p>
    <w:p>
      <w:pPr>
        <w:pStyle w:val="Normal"/>
        <w:ind w:left="947" w:right="73" w:hanging="10"/>
        <w:rPr/>
      </w:pPr>
      <w:r>
        <w:rPr/>
        <w:t>‘</w:t>
      </w:r>
      <w:r>
        <w:rPr/>
        <w:t xml:space="preserve">sensitive interest’, you do not have to disclose the nature of the interest. </w:t>
      </w:r>
    </w:p>
    <w:p>
      <w:pPr>
        <w:pStyle w:val="Normal"/>
        <w:spacing w:lineRule="auto" w:line="259" w:before="0" w:after="38"/>
        <w:ind w:left="0" w:hanging="0"/>
        <w:jc w:val="left"/>
        <w:rPr/>
      </w:pPr>
      <w:r>
        <w:rPr>
          <w:sz w:val="23"/>
        </w:rPr>
        <w:t xml:space="preserve"> </w:t>
      </w:r>
    </w:p>
    <w:p>
      <w:pPr>
        <w:pStyle w:val="Normal"/>
        <w:numPr>
          <w:ilvl w:val="0"/>
          <w:numId w:val="10"/>
        </w:numPr>
        <w:ind w:left="965" w:right="73" w:hanging="389"/>
        <w:rPr/>
      </w:pPr>
      <w:r>
        <w:rPr/>
        <w:t xml:space="preserve">Where a matter arises at a meeting which </w:t>
      </w:r>
      <w:r>
        <w:rPr>
          <w:b/>
          <w:i/>
        </w:rPr>
        <w:t xml:space="preserve">affects </w:t>
      </w:r>
      <w:r>
        <w:rPr/>
        <w:t xml:space="preserve">– </w:t>
      </w:r>
    </w:p>
    <w:p>
      <w:pPr>
        <w:pStyle w:val="Normal"/>
        <w:numPr>
          <w:ilvl w:val="1"/>
          <w:numId w:val="10"/>
        </w:numPr>
        <w:ind w:left="1701" w:right="73" w:hanging="404"/>
        <w:rPr/>
      </w:pPr>
      <w:r>
        <w:rPr/>
        <w:t xml:space="preserve">your own financial interest or well-being; </w:t>
      </w:r>
    </w:p>
    <w:p>
      <w:pPr>
        <w:pStyle w:val="Normal"/>
        <w:numPr>
          <w:ilvl w:val="1"/>
          <w:numId w:val="10"/>
        </w:numPr>
        <w:ind w:left="1701" w:right="73" w:hanging="404"/>
        <w:rPr/>
      </w:pPr>
      <w:r>
        <w:rPr/>
        <w:t xml:space="preserve">a financial interest or well-being of a relative or close associate; or </w:t>
      </w:r>
    </w:p>
    <w:p>
      <w:pPr>
        <w:pStyle w:val="Normal"/>
        <w:numPr>
          <w:ilvl w:val="1"/>
          <w:numId w:val="10"/>
        </w:numPr>
        <w:ind w:left="1701" w:right="73" w:hanging="404"/>
        <w:rPr/>
      </w:pPr>
      <w:r>
        <w:rPr/>
        <w:t xml:space="preserve">a financial interest or wellbeing of a body included under Other Registrable </w:t>
      </w:r>
    </w:p>
    <w:p>
      <w:pPr>
        <w:pStyle w:val="Normal"/>
        <w:spacing w:lineRule="auto" w:line="331" w:before="0" w:after="5"/>
        <w:ind w:left="970" w:right="562" w:firstLine="740"/>
        <w:jc w:val="left"/>
        <w:rPr/>
      </w:pPr>
      <w:r>
        <w:rPr/>
        <w:t xml:space="preserve">Interests as set out in </w:t>
      </w:r>
      <w:r>
        <w:rPr>
          <w:b/>
        </w:rPr>
        <w:t xml:space="preserve">Table 2 </w:t>
      </w:r>
      <w:r>
        <w:rPr/>
        <w:t xml:space="preserve">you must disclose the interest. In order to determine whether you can remain in the meeting after disclosing your interest the following test should be applied </w:t>
      </w:r>
    </w:p>
    <w:p>
      <w:pPr>
        <w:pStyle w:val="Normal"/>
        <w:spacing w:lineRule="auto" w:line="259" w:before="0" w:after="199"/>
        <w:ind w:left="216" w:hanging="0"/>
        <w:jc w:val="left"/>
        <w:rPr/>
      </w:pPr>
      <w:r>
        <w:rPr/>
        <w:t xml:space="preserve"> </w:t>
      </w:r>
    </w:p>
    <w:p>
      <w:pPr>
        <w:pStyle w:val="Normal"/>
        <w:numPr>
          <w:ilvl w:val="0"/>
          <w:numId w:val="10"/>
        </w:numPr>
        <w:spacing w:before="0" w:after="41"/>
        <w:ind w:left="965" w:right="73" w:hanging="389"/>
        <w:rPr/>
      </w:pPr>
      <w:r>
        <w:rPr/>
        <w:t>Where a matter (referred to in paragraph 8 above</w:t>
      </w:r>
      <w:r>
        <w:rPr>
          <w:i/>
        </w:rPr>
        <w:t xml:space="preserve">) </w:t>
      </w:r>
      <w:r>
        <w:rPr>
          <w:b/>
          <w:i/>
        </w:rPr>
        <w:t xml:space="preserve">affects </w:t>
      </w:r>
      <w:r>
        <w:rPr/>
        <w:t xml:space="preserve">the financial interest or wellbeing: </w:t>
      </w:r>
    </w:p>
    <w:p>
      <w:pPr>
        <w:pStyle w:val="Normal"/>
        <w:numPr>
          <w:ilvl w:val="1"/>
          <w:numId w:val="10"/>
        </w:numPr>
        <w:spacing w:before="0" w:after="47"/>
        <w:ind w:left="1701" w:right="73" w:hanging="404"/>
        <w:rPr/>
      </w:pPr>
      <w:r>
        <w:rPr/>
        <w:t xml:space="preserve">to a greater extent than it affects the financial interests of the majority of inhabitants of the ward affected by the decision and; </w:t>
      </w:r>
    </w:p>
    <w:p>
      <w:pPr>
        <w:pStyle w:val="Normal"/>
        <w:numPr>
          <w:ilvl w:val="1"/>
          <w:numId w:val="10"/>
        </w:numPr>
        <w:spacing w:before="0" w:after="121"/>
        <w:ind w:left="1701" w:right="73" w:hanging="404"/>
        <w:rPr/>
      </w:pPr>
      <w:r>
        <w:rPr/>
        <w:t xml:space="preserve">a reasonable member of the public knowing all the facts would believe that it would affect your view of the wider public interest </w:t>
      </w:r>
    </w:p>
    <w:p>
      <w:pPr>
        <w:pStyle w:val="Normal"/>
        <w:spacing w:lineRule="auto" w:line="264" w:before="0" w:after="119"/>
        <w:ind w:left="947" w:right="57" w:hanging="10"/>
        <w:jc w:val="left"/>
        <w:rPr/>
      </w:pPr>
      <w:r>
        <w:rPr/>
        <w:t xml:space="preserve">You may speak on the matter only if members of the public are also allowed to speak at the meeting. Otherwise you must not take part in any discussion or vote on the matter and must not remain in the room unless you have been granted a dispensation. </w:t>
      </w:r>
    </w:p>
    <w:p>
      <w:pPr>
        <w:pStyle w:val="Normal"/>
        <w:spacing w:lineRule="auto" w:line="259" w:before="0" w:after="33"/>
        <w:ind w:left="62" w:hanging="0"/>
        <w:jc w:val="center"/>
        <w:rPr/>
      </w:pPr>
      <w:r>
        <w:rPr/>
        <w:t xml:space="preserve">If it is a ‘sensitive interest’, you do not have to disclose the nature of the interest. </w:t>
      </w:r>
    </w:p>
    <w:p>
      <w:pPr>
        <w:pStyle w:val="Normal"/>
        <w:spacing w:lineRule="auto" w:line="259" w:before="0" w:after="7"/>
        <w:ind w:left="0" w:hanging="0"/>
        <w:jc w:val="left"/>
        <w:rPr/>
      </w:pPr>
      <w:r>
        <w:rPr>
          <w:sz w:val="23"/>
        </w:rPr>
        <w:t xml:space="preserve"> </w:t>
      </w:r>
    </w:p>
    <w:p>
      <w:pPr>
        <w:sectPr>
          <w:headerReference w:type="default" r:id="rId17"/>
          <w:footerReference w:type="default" r:id="rId18"/>
          <w:type w:val="nextPage"/>
          <w:pgSz w:w="11928" w:h="16862"/>
          <w:pgMar w:left="1200" w:right="1173" w:header="12" w:top="2355" w:footer="1235" w:bottom="1639" w:gutter="0"/>
          <w:pgNumType w:fmt="decimal"/>
          <w:formProt w:val="false"/>
          <w:textDirection w:val="lrTb"/>
          <w:docGrid w:type="default" w:linePitch="100" w:charSpace="0"/>
        </w:sectPr>
        <w:pStyle w:val="Normal"/>
        <w:spacing w:lineRule="auto" w:line="259" w:before="0" w:after="0"/>
        <w:ind w:left="0" w:hanging="0"/>
        <w:jc w:val="left"/>
        <w:rPr/>
      </w:pPr>
      <w:r>
        <w:rPr/>
        <w:t xml:space="preserve"> </w:t>
      </w:r>
    </w:p>
    <w:p>
      <w:pPr>
        <w:pStyle w:val="Normal"/>
        <w:spacing w:lineRule="auto" w:line="266" w:before="0" w:after="100"/>
        <w:ind w:left="226" w:right="58" w:hanging="10"/>
        <w:rPr/>
      </w:pPr>
      <w:r>
        <w:rPr>
          <w:b/>
        </w:rPr>
        <w:t xml:space="preserve">Table 1: Disclosable Pecuniary Interests </w:t>
      </w:r>
    </w:p>
    <w:p>
      <w:pPr>
        <w:pStyle w:val="Normal"/>
        <w:ind w:left="211" w:right="384" w:hanging="10"/>
        <w:rPr/>
      </w:pPr>
      <w:r>
        <w:rPr/>
        <w:t xml:space="preserve">This table sets out the explanation of Disclosable Pecuniary Interests as set out in the </w:t>
      </w:r>
      <w:hyperlink r:id="rId19">
        <w:r>
          <w:rPr>
            <w:color w:val="0461C1"/>
            <w:u w:val="single" w:color="0461C1"/>
          </w:rPr>
          <w:t>Relevant</w:t>
        </w:r>
      </w:hyperlink>
      <w:hyperlink r:id="rId20">
        <w:r>
          <w:rPr>
            <w:color w:val="0461C1"/>
            <w:u w:val="single" w:color="0461C1"/>
          </w:rPr>
          <w:t xml:space="preserve"> </w:t>
        </w:r>
      </w:hyperlink>
      <w:hyperlink r:id="rId21">
        <w:r>
          <w:rPr>
            <w:color w:val="0461C1"/>
            <w:u w:val="single" w:color="0461C1"/>
          </w:rPr>
          <w:t>Authorities</w:t>
        </w:r>
      </w:hyperlink>
      <w:hyperlink r:id="rId22">
        <w:r>
          <w:rPr>
            <w:color w:val="0461C1"/>
            <w:u w:val="single" w:color="0461C1"/>
          </w:rPr>
          <w:t xml:space="preserve"> </w:t>
        </w:r>
      </w:hyperlink>
      <w:hyperlink r:id="rId23">
        <w:r>
          <w:rPr>
            <w:color w:val="0461C1"/>
            <w:u w:val="single" w:color="0461C1"/>
          </w:rPr>
          <w:t>(Disclosable</w:t>
        </w:r>
      </w:hyperlink>
      <w:hyperlink r:id="rId24">
        <w:r>
          <w:rPr>
            <w:color w:val="0461C1"/>
            <w:u w:val="single" w:color="0461C1"/>
          </w:rPr>
          <w:t xml:space="preserve"> </w:t>
        </w:r>
      </w:hyperlink>
      <w:hyperlink r:id="rId25">
        <w:r>
          <w:rPr>
            <w:color w:val="0461C1"/>
            <w:u w:val="single" w:color="0461C1"/>
          </w:rPr>
          <w:t>Pecuniary</w:t>
        </w:r>
      </w:hyperlink>
      <w:hyperlink r:id="rId26">
        <w:r>
          <w:rPr>
            <w:color w:val="0461C1"/>
            <w:u w:val="single" w:color="0461C1"/>
          </w:rPr>
          <w:t xml:space="preserve"> </w:t>
        </w:r>
      </w:hyperlink>
      <w:hyperlink r:id="rId27">
        <w:r>
          <w:rPr>
            <w:color w:val="0461C1"/>
            <w:u w:val="single" w:color="0461C1"/>
          </w:rPr>
          <w:t>Interests)</w:t>
        </w:r>
      </w:hyperlink>
      <w:hyperlink r:id="rId28">
        <w:r>
          <w:rPr>
            <w:color w:val="0461C1"/>
            <w:u w:val="single" w:color="0461C1"/>
          </w:rPr>
          <w:t xml:space="preserve"> </w:t>
        </w:r>
      </w:hyperlink>
      <w:hyperlink r:id="rId29">
        <w:r>
          <w:rPr>
            <w:color w:val="0461C1"/>
            <w:u w:val="single" w:color="0461C1"/>
          </w:rPr>
          <w:t>Regulations</w:t>
        </w:r>
      </w:hyperlink>
      <w:hyperlink r:id="rId30">
        <w:r>
          <w:rPr>
            <w:color w:val="0461C1"/>
            <w:u w:val="single" w:color="0461C1"/>
          </w:rPr>
          <w:t xml:space="preserve"> </w:t>
        </w:r>
      </w:hyperlink>
      <w:hyperlink r:id="rId31">
        <w:r>
          <w:rPr>
            <w:color w:val="0461C1"/>
            <w:u w:val="single" w:color="0461C1"/>
          </w:rPr>
          <w:t>201</w:t>
        </w:r>
      </w:hyperlink>
      <w:hyperlink r:id="rId32">
        <w:r>
          <w:rPr>
            <w:color w:val="0461C1"/>
            <w:u w:val="single" w:color="0461C1"/>
          </w:rPr>
          <w:t>2</w:t>
        </w:r>
      </w:hyperlink>
      <w:hyperlink r:id="rId33">
        <w:r>
          <w:rPr>
            <w:u w:val="single" w:color="0461C1"/>
          </w:rPr>
          <w:t>.</w:t>
        </w:r>
      </w:hyperlink>
      <w:hyperlink r:id="rId34">
        <w:r>
          <w:rPr/>
          <w:t xml:space="preserve"> </w:t>
        </w:r>
      </w:hyperlink>
    </w:p>
    <w:tbl>
      <w:tblPr>
        <w:tblStyle w:val="TableGrid"/>
        <w:tblW w:w="9001" w:type="dxa"/>
        <w:jc w:val="left"/>
        <w:tblInd w:w="248" w:type="dxa"/>
        <w:tblLayout w:type="fixed"/>
        <w:tblCellMar>
          <w:top w:w="0" w:type="dxa"/>
          <w:left w:w="96" w:type="dxa"/>
          <w:bottom w:w="0" w:type="dxa"/>
          <w:right w:w="16" w:type="dxa"/>
        </w:tblCellMar>
        <w:tblLook w:firstRow="1" w:noVBand="1" w:lastRow="0" w:firstColumn="1" w:lastColumn="0" w:noHBand="0" w:val="04a0"/>
      </w:tblPr>
      <w:tblGrid>
        <w:gridCol w:w="4492"/>
        <w:gridCol w:w="4508"/>
      </w:tblGrid>
      <w:tr>
        <w:trPr>
          <w:trHeight w:val="250"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29" w:hanging="0"/>
              <w:jc w:val="left"/>
              <w:rPr>
                <w:kern w:val="2"/>
                <w:szCs w:val="24"/>
                <w:lang w:val="en-GB" w:eastAsia="en-GB" w:bidi="ar-SA"/>
              </w:rPr>
            </w:pPr>
            <w:r>
              <w:rPr>
                <w:b/>
                <w:kern w:val="2"/>
                <w:szCs w:val="24"/>
                <w:lang w:val="en-GB" w:eastAsia="en-GB" w:bidi="ar-SA"/>
              </w:rPr>
              <w:t xml:space="preserve">Subject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46" w:hanging="0"/>
              <w:jc w:val="left"/>
              <w:rPr>
                <w:kern w:val="2"/>
                <w:szCs w:val="24"/>
                <w:lang w:val="en-GB" w:eastAsia="en-GB" w:bidi="ar-SA"/>
              </w:rPr>
            </w:pPr>
            <w:r>
              <w:rPr>
                <w:b/>
                <w:kern w:val="2"/>
                <w:szCs w:val="24"/>
                <w:lang w:val="en-GB" w:eastAsia="en-GB" w:bidi="ar-SA"/>
              </w:rPr>
              <w:t xml:space="preserve">Description </w:t>
            </w:r>
          </w:p>
        </w:tc>
      </w:tr>
      <w:tr>
        <w:trPr>
          <w:trHeight w:val="1042"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29" w:right="436" w:hanging="0"/>
              <w:rPr>
                <w:kern w:val="2"/>
                <w:szCs w:val="24"/>
                <w:lang w:val="en-GB" w:eastAsia="en-GB" w:bidi="ar-SA"/>
              </w:rPr>
            </w:pPr>
            <w:r>
              <w:rPr>
                <w:b/>
                <w:kern w:val="2"/>
                <w:szCs w:val="24"/>
                <w:lang w:val="en-GB" w:eastAsia="en-GB" w:bidi="ar-SA"/>
              </w:rPr>
              <w:t xml:space="preserve">Employment, office, trade, profession or vocation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12"/>
              <w:ind w:left="27" w:right="900" w:hanging="0"/>
              <w:rPr>
                <w:kern w:val="2"/>
                <w:szCs w:val="24"/>
                <w:lang w:val="en-GB" w:eastAsia="en-GB" w:bidi="ar-SA"/>
              </w:rPr>
            </w:pPr>
            <w:r>
              <w:rPr>
                <w:kern w:val="2"/>
                <w:szCs w:val="24"/>
                <w:lang w:val="en-GB" w:eastAsia="en-GB" w:bidi="ar-SA"/>
              </w:rPr>
              <w:t xml:space="preserve">Any employment, office, trade, profession or vocation carried on for profit or gain. </w:t>
            </w:r>
          </w:p>
          <w:p>
            <w:pPr>
              <w:pStyle w:val="Normal"/>
              <w:widowControl w:val="false"/>
              <w:suppressAutoHyphens w:val="true"/>
              <w:spacing w:lineRule="auto" w:line="259" w:before="0" w:after="0"/>
              <w:ind w:left="27" w:hanging="0"/>
              <w:jc w:val="left"/>
              <w:rPr>
                <w:kern w:val="2"/>
                <w:szCs w:val="24"/>
                <w:lang w:val="en-GB" w:eastAsia="en-GB" w:bidi="ar-SA"/>
              </w:rPr>
            </w:pPr>
            <w:r>
              <w:rPr>
                <w:kern w:val="2"/>
                <w:szCs w:val="24"/>
                <w:lang w:val="en-GB" w:eastAsia="en-GB" w:bidi="ar-SA"/>
              </w:rPr>
              <w:t xml:space="preserve"> </w:t>
            </w:r>
          </w:p>
        </w:tc>
      </w:tr>
      <w:tr>
        <w:trPr>
          <w:trHeight w:val="3044"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Cs w:val="24"/>
                <w:lang w:val="en-GB" w:eastAsia="en-GB" w:bidi="ar-SA"/>
              </w:rPr>
            </w:pPr>
            <w:r>
              <w:rPr>
                <w:b/>
                <w:kern w:val="2"/>
                <w:szCs w:val="24"/>
                <w:lang w:val="en-GB" w:eastAsia="en-GB" w:bidi="ar-SA"/>
              </w:rPr>
              <w:t xml:space="preserve">Sponsorship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9"/>
              <w:ind w:left="13" w:right="399" w:hanging="0"/>
              <w:rPr>
                <w:kern w:val="2"/>
                <w:szCs w:val="24"/>
                <w:lang w:val="en-GB" w:eastAsia="en-GB" w:bidi="ar-SA"/>
              </w:rPr>
            </w:pPr>
            <w:r>
              <w:rPr>
                <w:kern w:val="2"/>
                <w:szCs w:val="24"/>
                <w:lang w:val="en-GB" w:eastAsia="en-GB" w:bidi="ar-SA"/>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pPr>
              <w:pStyle w:val="Normal"/>
              <w:widowControl w:val="false"/>
              <w:suppressAutoHyphens w:val="true"/>
              <w:spacing w:lineRule="auto" w:line="235" w:before="0" w:after="7"/>
              <w:ind w:left="27" w:right="516" w:hanging="0"/>
              <w:rPr>
                <w:kern w:val="2"/>
                <w:szCs w:val="24"/>
                <w:lang w:val="en-GB" w:eastAsia="en-GB" w:bidi="ar-SA"/>
              </w:rPr>
            </w:pPr>
            <w:r>
              <w:rPr>
                <w:kern w:val="2"/>
                <w:szCs w:val="24"/>
                <w:lang w:val="en-GB" w:eastAsia="en-GB" w:bidi="ar-SA"/>
              </w:rPr>
              <w:t xml:space="preserve">This includes any payment or financial benefit from a trade union within the meaning of the Trade Union and Labour Relations (Consolidation) Act 1992. </w:t>
            </w:r>
          </w:p>
          <w:p>
            <w:pPr>
              <w:pStyle w:val="Normal"/>
              <w:widowControl w:val="false"/>
              <w:suppressAutoHyphens w:val="true"/>
              <w:spacing w:lineRule="auto" w:line="259" w:before="0" w:after="0"/>
              <w:ind w:left="27" w:hanging="0"/>
              <w:jc w:val="left"/>
              <w:rPr>
                <w:kern w:val="2"/>
                <w:szCs w:val="24"/>
                <w:lang w:val="en-GB" w:eastAsia="en-GB" w:bidi="ar-SA"/>
              </w:rPr>
            </w:pPr>
            <w:r>
              <w:rPr>
                <w:kern w:val="2"/>
                <w:szCs w:val="24"/>
                <w:lang w:val="en-GB" w:eastAsia="en-GB" w:bidi="ar-SA"/>
              </w:rPr>
              <w:t xml:space="preserve"> </w:t>
            </w:r>
          </w:p>
        </w:tc>
      </w:tr>
      <w:tr>
        <w:trPr>
          <w:trHeight w:val="3567"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Cs w:val="24"/>
                <w:lang w:val="en-GB" w:eastAsia="en-GB" w:bidi="ar-SA"/>
              </w:rPr>
            </w:pPr>
            <w:r>
              <w:rPr>
                <w:b/>
                <w:kern w:val="2"/>
                <w:szCs w:val="24"/>
                <w:lang w:val="en-GB" w:eastAsia="en-GB" w:bidi="ar-SA"/>
              </w:rPr>
              <w:t xml:space="preserve">Contracts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27"/>
              <w:ind w:left="13" w:right="24" w:firstLine="14"/>
              <w:jc w:val="left"/>
              <w:rPr>
                <w:kern w:val="2"/>
                <w:szCs w:val="24"/>
                <w:lang w:val="en-GB" w:eastAsia="en-GB" w:bidi="ar-SA"/>
              </w:rPr>
            </w:pPr>
            <w:r>
              <w:rPr>
                <w:kern w:val="2"/>
                <w:szCs w:val="24"/>
                <w:lang w:val="en-GB" w:eastAsia="en-GB" w:bidi="ar-SA"/>
              </w:rP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p>
          <w:p>
            <w:pPr>
              <w:pStyle w:val="Normal"/>
              <w:widowControl w:val="false"/>
              <w:suppressAutoHyphens w:val="true"/>
              <w:spacing w:lineRule="auto" w:line="259" w:before="0" w:after="15"/>
              <w:ind w:left="13" w:hanging="0"/>
              <w:jc w:val="left"/>
              <w:rPr>
                <w:kern w:val="2"/>
                <w:szCs w:val="24"/>
                <w:lang w:val="en-GB" w:eastAsia="en-GB" w:bidi="ar-SA"/>
              </w:rPr>
            </w:pPr>
            <w:r>
              <w:rPr>
                <w:kern w:val="2"/>
                <w:szCs w:val="24"/>
                <w:lang w:val="en-GB" w:eastAsia="en-GB" w:bidi="ar-SA"/>
              </w:rPr>
              <w:t xml:space="preserve">— </w:t>
            </w:r>
          </w:p>
          <w:p>
            <w:pPr>
              <w:pStyle w:val="Normal"/>
              <w:widowControl w:val="false"/>
              <w:suppressAutoHyphens w:val="true"/>
              <w:spacing w:lineRule="auto" w:line="235" w:before="0" w:after="0"/>
              <w:ind w:left="13" w:hanging="0"/>
              <w:jc w:val="left"/>
              <w:rPr>
                <w:kern w:val="2"/>
                <w:szCs w:val="24"/>
                <w:lang w:val="en-GB" w:eastAsia="en-GB" w:bidi="ar-SA"/>
              </w:rPr>
            </w:pPr>
            <w:r>
              <w:rPr>
                <w:kern w:val="2"/>
                <w:sz w:val="24"/>
                <w:szCs w:val="24"/>
                <w:lang w:val="en-GB" w:eastAsia="en-GB" w:bidi="ar-SA"/>
              </w:rPr>
              <w:t xml:space="preserve">(a) </w:t>
            </w:r>
            <w:r>
              <w:rPr>
                <w:kern w:val="2"/>
                <w:szCs w:val="24"/>
                <w:lang w:val="en-GB" w:eastAsia="en-GB" w:bidi="ar-SA"/>
              </w:rPr>
              <w:t xml:space="preserve">under which goods or services are to be provided or works are to be executed; and </w:t>
            </w:r>
            <w:r>
              <w:rPr>
                <w:kern w:val="2"/>
                <w:sz w:val="24"/>
                <w:szCs w:val="24"/>
                <w:lang w:val="en-GB" w:eastAsia="en-GB" w:bidi="ar-SA"/>
              </w:rPr>
              <w:t xml:space="preserve">(b) </w:t>
            </w:r>
            <w:r>
              <w:rPr>
                <w:kern w:val="2"/>
                <w:szCs w:val="24"/>
                <w:lang w:val="en-GB" w:eastAsia="en-GB" w:bidi="ar-SA"/>
              </w:rPr>
              <w:t xml:space="preserve">which has not been fully discharged. </w:t>
            </w:r>
          </w:p>
          <w:p>
            <w:pPr>
              <w:pStyle w:val="Normal"/>
              <w:widowControl w:val="false"/>
              <w:suppressAutoHyphens w:val="true"/>
              <w:spacing w:lineRule="auto" w:line="259" w:before="0" w:after="0"/>
              <w:ind w:left="27" w:hanging="0"/>
              <w:jc w:val="left"/>
              <w:rPr>
                <w:kern w:val="2"/>
                <w:szCs w:val="24"/>
                <w:lang w:val="en-GB" w:eastAsia="en-GB" w:bidi="ar-SA"/>
              </w:rPr>
            </w:pPr>
            <w:r>
              <w:rPr>
                <w:kern w:val="2"/>
                <w:szCs w:val="24"/>
                <w:lang w:val="en-GB" w:eastAsia="en-GB" w:bidi="ar-SA"/>
              </w:rPr>
              <w:t xml:space="preserve"> </w:t>
            </w:r>
          </w:p>
        </w:tc>
      </w:tr>
      <w:tr>
        <w:trPr>
          <w:trHeight w:val="2530"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Cs w:val="24"/>
                <w:lang w:val="en-GB" w:eastAsia="en-GB" w:bidi="ar-SA"/>
              </w:rPr>
            </w:pPr>
            <w:r>
              <w:rPr>
                <w:b/>
                <w:kern w:val="2"/>
                <w:szCs w:val="24"/>
                <w:lang w:val="en-GB" w:eastAsia="en-GB" w:bidi="ar-SA"/>
              </w:rPr>
              <w:t xml:space="preserve">Land and Property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3" w:before="0" w:after="48"/>
              <w:ind w:left="32" w:right="69" w:hanging="0"/>
              <w:rPr>
                <w:kern w:val="2"/>
                <w:szCs w:val="24"/>
                <w:lang w:val="en-GB" w:eastAsia="en-GB" w:bidi="ar-SA"/>
              </w:rPr>
            </w:pPr>
            <w:r>
              <w:rPr>
                <w:kern w:val="2"/>
                <w:szCs w:val="24"/>
                <w:lang w:val="en-GB" w:eastAsia="en-GB" w:bidi="ar-SA"/>
              </w:rPr>
              <w:t xml:space="preserve">Any beneficial interest in land which is within the area of the council. </w:t>
            </w:r>
          </w:p>
          <w:p>
            <w:pPr>
              <w:pStyle w:val="Normal"/>
              <w:widowControl w:val="false"/>
              <w:suppressAutoHyphens w:val="true"/>
              <w:spacing w:lineRule="auto" w:line="240" w:before="0" w:after="1"/>
              <w:ind w:left="13" w:right="73" w:hanging="0"/>
              <w:jc w:val="left"/>
              <w:rPr>
                <w:kern w:val="2"/>
                <w:szCs w:val="24"/>
                <w:lang w:val="en-GB" w:eastAsia="en-GB" w:bidi="ar-SA"/>
              </w:rPr>
            </w:pPr>
            <w:r>
              <w:rPr>
                <w:kern w:val="2"/>
                <w:szCs w:val="24"/>
                <w:lang w:val="en-GB" w:eastAsia="en-GB" w:bidi="ar-SA"/>
              </w:rPr>
              <w:t>‘</w:t>
            </w:r>
            <w:r>
              <w:rPr>
                <w:kern w:val="2"/>
                <w:szCs w:val="24"/>
                <w:lang w:val="en-GB" w:eastAsia="en-GB" w:bidi="ar-SA"/>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p>
            <w:pPr>
              <w:pStyle w:val="Normal"/>
              <w:widowControl w:val="false"/>
              <w:suppressAutoHyphens w:val="true"/>
              <w:spacing w:lineRule="auto" w:line="259" w:before="0" w:after="0"/>
              <w:ind w:left="13" w:hanging="0"/>
              <w:jc w:val="left"/>
              <w:rPr>
                <w:kern w:val="2"/>
                <w:szCs w:val="24"/>
                <w:lang w:val="en-GB" w:eastAsia="en-GB" w:bidi="ar-SA"/>
              </w:rPr>
            </w:pPr>
            <w:r>
              <w:rPr>
                <w:kern w:val="2"/>
                <w:szCs w:val="24"/>
                <w:lang w:val="en-GB" w:eastAsia="en-GB" w:bidi="ar-SA"/>
              </w:rPr>
              <w:t xml:space="preserve"> </w:t>
            </w:r>
          </w:p>
        </w:tc>
      </w:tr>
      <w:tr>
        <w:trPr>
          <w:trHeight w:val="1028" w:hRule="atLeast"/>
        </w:trPr>
        <w:tc>
          <w:tcPr>
            <w:tcW w:w="4492" w:type="dxa"/>
            <w:tcBorders>
              <w:top w:val="single" w:sz="4" w:space="0" w:color="000000"/>
              <w:left w:val="single" w:sz="6" w:space="0" w:color="000000"/>
              <w:bottom w:val="single" w:sz="4" w:space="0" w:color="000000"/>
              <w:right w:val="single" w:sz="4" w:space="0" w:color="000000"/>
            </w:tcBorders>
          </w:tcPr>
          <w:p>
            <w:pPr>
              <w:pStyle w:val="Normal"/>
              <w:widowControl w:val="false"/>
              <w:suppressAutoHyphens w:val="true"/>
              <w:spacing w:lineRule="auto" w:line="259" w:before="0" w:after="0"/>
              <w:ind w:left="5" w:hanging="0"/>
              <w:jc w:val="left"/>
              <w:rPr>
                <w:kern w:val="2"/>
                <w:szCs w:val="24"/>
                <w:lang w:val="en-GB" w:eastAsia="en-GB" w:bidi="ar-SA"/>
              </w:rPr>
            </w:pPr>
            <w:r>
              <w:rPr>
                <w:b/>
                <w:kern w:val="2"/>
                <w:szCs w:val="24"/>
                <w:lang w:val="en-GB" w:eastAsia="en-GB" w:bidi="ar-SA"/>
              </w:rPr>
              <w:t xml:space="preserve">Licenses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28" w:before="0" w:after="19"/>
              <w:ind w:left="13" w:hanging="0"/>
              <w:rPr>
                <w:kern w:val="2"/>
                <w:szCs w:val="24"/>
                <w:lang w:val="en-GB" w:eastAsia="en-GB" w:bidi="ar-SA"/>
              </w:rPr>
            </w:pPr>
            <w:r>
              <w:rPr>
                <w:kern w:val="2"/>
                <w:szCs w:val="24"/>
                <w:lang w:val="en-GB" w:eastAsia="en-GB" w:bidi="ar-SA"/>
              </w:rPr>
              <w:t xml:space="preserve">Any licence (alone or jointly with others) to occupy land in the area of the council for a month or longer </w:t>
            </w:r>
          </w:p>
          <w:p>
            <w:pPr>
              <w:pStyle w:val="Normal"/>
              <w:widowControl w:val="false"/>
              <w:suppressAutoHyphens w:val="true"/>
              <w:spacing w:lineRule="auto" w:line="259" w:before="0" w:after="0"/>
              <w:ind w:left="13" w:hanging="0"/>
              <w:jc w:val="left"/>
              <w:rPr>
                <w:kern w:val="2"/>
                <w:szCs w:val="24"/>
                <w:lang w:val="en-GB" w:eastAsia="en-GB" w:bidi="ar-SA"/>
              </w:rPr>
            </w:pPr>
            <w:r>
              <w:rPr>
                <w:kern w:val="2"/>
                <w:szCs w:val="24"/>
                <w:lang w:val="en-GB" w:eastAsia="en-GB" w:bidi="ar-SA"/>
              </w:rPr>
              <w:t xml:space="preserve"> </w:t>
            </w:r>
          </w:p>
        </w:tc>
      </w:tr>
      <w:tr>
        <w:trPr>
          <w:trHeight w:val="2559"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Cs w:val="24"/>
                <w:lang w:val="en-GB" w:eastAsia="en-GB" w:bidi="ar-SA"/>
              </w:rPr>
            </w:pPr>
            <w:r>
              <w:rPr>
                <w:b/>
                <w:kern w:val="2"/>
                <w:szCs w:val="24"/>
                <w:lang w:val="en-GB" w:eastAsia="en-GB" w:bidi="ar-SA"/>
              </w:rPr>
              <w:t xml:space="preserve">Corporate tenancies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5" w:before="0" w:after="29"/>
              <w:ind w:left="34" w:hanging="0"/>
              <w:jc w:val="left"/>
              <w:rPr>
                <w:kern w:val="2"/>
                <w:szCs w:val="24"/>
                <w:lang w:val="en-GB" w:eastAsia="en-GB" w:bidi="ar-SA"/>
              </w:rPr>
            </w:pPr>
            <w:r>
              <w:rPr>
                <w:kern w:val="2"/>
                <w:szCs w:val="24"/>
                <w:lang w:val="en-GB" w:eastAsia="en-GB" w:bidi="ar-SA"/>
              </w:rPr>
              <w:t xml:space="preserve">Any tenancy where (to the councillor’s knowledge)— </w:t>
            </w:r>
          </w:p>
          <w:p>
            <w:pPr>
              <w:pStyle w:val="Normal"/>
              <w:widowControl w:val="false"/>
              <w:numPr>
                <w:ilvl w:val="0"/>
                <w:numId w:val="14"/>
              </w:numPr>
              <w:suppressAutoHyphens w:val="true"/>
              <w:spacing w:lineRule="auto" w:line="259" w:before="0" w:after="0"/>
              <w:ind w:left="226" w:hanging="0"/>
              <w:jc w:val="left"/>
              <w:rPr>
                <w:kern w:val="2"/>
                <w:szCs w:val="24"/>
                <w:lang w:val="en-GB" w:eastAsia="en-GB" w:bidi="ar-SA"/>
              </w:rPr>
            </w:pPr>
            <w:r>
              <w:rPr>
                <w:kern w:val="2"/>
                <w:szCs w:val="24"/>
                <w:lang w:val="en-GB" w:eastAsia="en-GB" w:bidi="ar-SA"/>
              </w:rPr>
              <w:t xml:space="preserve">the landlord is the council; and </w:t>
            </w:r>
          </w:p>
          <w:p>
            <w:pPr>
              <w:pStyle w:val="Normal"/>
              <w:widowControl w:val="false"/>
              <w:numPr>
                <w:ilvl w:val="0"/>
                <w:numId w:val="14"/>
              </w:numPr>
              <w:suppressAutoHyphens w:val="true"/>
              <w:spacing w:lineRule="auto" w:line="235" w:before="0" w:after="0"/>
              <w:ind w:left="226" w:hanging="0"/>
              <w:jc w:val="left"/>
              <w:rPr>
                <w:kern w:val="2"/>
                <w:szCs w:val="24"/>
                <w:lang w:val="en-GB" w:eastAsia="en-GB" w:bidi="ar-SA"/>
              </w:rPr>
            </w:pPr>
            <w:r>
              <w:rPr>
                <w:kern w:val="2"/>
                <w:szCs w:val="24"/>
                <w:lang w:val="en-GB" w:eastAsia="en-GB" w:bidi="ar-SA"/>
              </w:rPr>
              <w:t xml:space="preserve">the tenant is a body that the councillor, or his/her spouse or civil partner or the person with whom the councillor is living as if they were spouses/ civil partners is a partner of or a director* of or has a beneficial interest in the securities* of. </w:t>
            </w:r>
          </w:p>
          <w:p>
            <w:pPr>
              <w:pStyle w:val="Normal"/>
              <w:widowControl w:val="false"/>
              <w:suppressAutoHyphens w:val="true"/>
              <w:spacing w:lineRule="auto" w:line="259" w:before="0" w:after="0"/>
              <w:ind w:left="34" w:hanging="0"/>
              <w:jc w:val="left"/>
              <w:rPr>
                <w:kern w:val="2"/>
                <w:szCs w:val="24"/>
                <w:lang w:val="en-GB" w:eastAsia="en-GB" w:bidi="ar-SA"/>
              </w:rPr>
            </w:pPr>
            <w:r>
              <w:rPr>
                <w:kern w:val="2"/>
                <w:szCs w:val="24"/>
                <w:lang w:val="en-GB" w:eastAsia="en-GB" w:bidi="ar-SA"/>
              </w:rPr>
              <w:t xml:space="preserve"> </w:t>
            </w:r>
          </w:p>
        </w:tc>
      </w:tr>
      <w:tr>
        <w:trPr>
          <w:trHeight w:val="5339" w:hRule="atLeast"/>
        </w:trPr>
        <w:tc>
          <w:tcPr>
            <w:tcW w:w="44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59" w:before="0" w:after="0"/>
              <w:ind w:left="0" w:hanging="0"/>
              <w:jc w:val="left"/>
              <w:rPr>
                <w:kern w:val="2"/>
                <w:szCs w:val="24"/>
                <w:lang w:val="en-GB" w:eastAsia="en-GB" w:bidi="ar-SA"/>
              </w:rPr>
            </w:pPr>
            <w:r>
              <w:rPr>
                <w:b/>
                <w:kern w:val="2"/>
                <w:szCs w:val="24"/>
                <w:lang w:val="en-GB" w:eastAsia="en-GB" w:bidi="ar-SA"/>
              </w:rPr>
              <w:t xml:space="preserve">Securities </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30" w:before="0" w:after="82"/>
              <w:ind w:left="34" w:hanging="0"/>
              <w:rPr>
                <w:kern w:val="2"/>
                <w:szCs w:val="24"/>
                <w:lang w:val="en-GB" w:eastAsia="en-GB" w:bidi="ar-SA"/>
              </w:rPr>
            </w:pPr>
            <w:r>
              <w:rPr>
                <w:kern w:val="2"/>
                <w:szCs w:val="24"/>
                <w:lang w:val="en-GB" w:eastAsia="en-GB" w:bidi="ar-SA"/>
              </w:rPr>
              <w:t xml:space="preserve">Any beneficial interest in securities* of a body where— </w:t>
            </w:r>
          </w:p>
          <w:p>
            <w:pPr>
              <w:pStyle w:val="Normal"/>
              <w:widowControl w:val="false"/>
              <w:numPr>
                <w:ilvl w:val="0"/>
                <w:numId w:val="15"/>
              </w:numPr>
              <w:suppressAutoHyphens w:val="true"/>
              <w:spacing w:lineRule="auto" w:line="242" w:before="0" w:after="39"/>
              <w:ind w:left="31" w:right="313" w:hanging="0"/>
              <w:jc w:val="left"/>
              <w:rPr>
                <w:kern w:val="2"/>
                <w:szCs w:val="24"/>
                <w:lang w:val="en-GB" w:eastAsia="en-GB" w:bidi="ar-SA"/>
              </w:rPr>
            </w:pPr>
            <w:r>
              <w:rPr>
                <w:kern w:val="2"/>
                <w:szCs w:val="24"/>
                <w:lang w:val="en-GB" w:eastAsia="en-GB" w:bidi="ar-SA"/>
              </w:rPr>
              <w:t xml:space="preserve">that body (to the councillor’s knowledge) has a place of business or land in the area of the council; and </w:t>
            </w:r>
          </w:p>
          <w:p>
            <w:pPr>
              <w:pStyle w:val="Normal"/>
              <w:widowControl w:val="false"/>
              <w:numPr>
                <w:ilvl w:val="0"/>
                <w:numId w:val="15"/>
              </w:numPr>
              <w:suppressAutoHyphens w:val="true"/>
              <w:spacing w:lineRule="auto" w:line="259" w:before="0" w:after="0"/>
              <w:ind w:left="31" w:right="313" w:hanging="0"/>
              <w:jc w:val="left"/>
              <w:rPr>
                <w:kern w:val="2"/>
                <w:szCs w:val="24"/>
                <w:lang w:val="en-GB" w:eastAsia="en-GB" w:bidi="ar-SA"/>
              </w:rPr>
            </w:pPr>
            <w:r>
              <w:rPr>
                <w:kern w:val="2"/>
                <w:szCs w:val="24"/>
                <w:lang w:val="en-GB" w:eastAsia="en-GB" w:bidi="ar-SA"/>
              </w:rPr>
              <w:t xml:space="preserve">either— </w:t>
            </w:r>
          </w:p>
          <w:p>
            <w:pPr>
              <w:pStyle w:val="Normal"/>
              <w:widowControl w:val="false"/>
              <w:suppressAutoHyphens w:val="true"/>
              <w:spacing w:lineRule="auto" w:line="240" w:before="0" w:after="1"/>
              <w:ind w:left="34" w:right="780" w:hanging="0"/>
              <w:rPr>
                <w:kern w:val="2"/>
                <w:szCs w:val="24"/>
                <w:lang w:val="en-GB" w:eastAsia="en-GB" w:bidi="ar-SA"/>
              </w:rPr>
            </w:pPr>
            <w:r>
              <w:rPr>
                <w:kern w:val="2"/>
                <w:sz w:val="24"/>
                <w:szCs w:val="24"/>
                <w:lang w:val="en-GB" w:eastAsia="en-GB" w:bidi="ar-SA"/>
              </w:rPr>
              <w:t xml:space="preserve">(i) </w:t>
            </w:r>
            <w:r>
              <w:rPr>
                <w:kern w:val="2"/>
                <w:szCs w:val="24"/>
                <w:lang w:val="en-GB" w:eastAsia="en-GB" w:bidi="ar-SA"/>
              </w:rPr>
              <w:t xml:space="preserve">) the total nominal value of the securities* exceeds £25,000 or one hundredth of the total issued share </w:t>
            </w:r>
          </w:p>
          <w:p>
            <w:pPr>
              <w:pStyle w:val="Normal"/>
              <w:widowControl w:val="false"/>
              <w:suppressAutoHyphens w:val="true"/>
              <w:spacing w:lineRule="auto" w:line="259" w:before="0" w:after="0"/>
              <w:ind w:left="34" w:hanging="0"/>
              <w:jc w:val="left"/>
              <w:rPr>
                <w:kern w:val="2"/>
                <w:szCs w:val="24"/>
                <w:lang w:val="en-GB" w:eastAsia="en-GB" w:bidi="ar-SA"/>
              </w:rPr>
            </w:pPr>
            <w:r>
              <w:rPr>
                <w:kern w:val="2"/>
                <w:szCs w:val="24"/>
                <w:lang w:val="en-GB" w:eastAsia="en-GB" w:bidi="ar-SA"/>
              </w:rPr>
              <w:t xml:space="preserve">capital of that body; or </w:t>
            </w:r>
          </w:p>
          <w:p>
            <w:pPr>
              <w:pStyle w:val="Normal"/>
              <w:widowControl w:val="false"/>
              <w:suppressAutoHyphens w:val="true"/>
              <w:spacing w:lineRule="auto" w:line="252" w:before="0" w:after="0"/>
              <w:ind w:left="5" w:right="61" w:hanging="0"/>
              <w:rPr>
                <w:kern w:val="2"/>
                <w:szCs w:val="24"/>
                <w:lang w:val="en-GB" w:eastAsia="en-GB" w:bidi="ar-SA"/>
              </w:rPr>
            </w:pPr>
            <w:r>
              <w:rPr>
                <w:kern w:val="2"/>
                <w:szCs w:val="24"/>
                <w:lang w:val="en-GB" w:eastAsia="en-GB" w:bidi="ar-SA"/>
              </w:rPr>
              <w:t>if the share capital of that body is of more than one class, the total nominal value of the shares of any one class in which the councillor, or his/ her spouse or civil partner or the person with whom the councillor is living as if they were</w:t>
            </w:r>
            <w:r>
              <w:rPr>
                <w:kern w:val="2"/>
                <w:sz w:val="24"/>
                <w:szCs w:val="24"/>
                <w:lang w:val="en-GB" w:eastAsia="en-GB" w:bidi="ar-SA"/>
              </w:rPr>
              <w:t xml:space="preserve"> </w:t>
            </w:r>
            <w:r>
              <w:rPr>
                <w:kern w:val="2"/>
                <w:szCs w:val="24"/>
                <w:lang w:val="en-GB" w:eastAsia="en-GB" w:bidi="ar-SA"/>
              </w:rPr>
              <w:t>spouses/civil partners have a beneficial interest exceeds one hundredth of the total issued share capital of that class</w:t>
            </w:r>
            <w:r>
              <w:rPr>
                <w:kern w:val="2"/>
                <w:sz w:val="24"/>
                <w:szCs w:val="24"/>
                <w:lang w:val="en-GB" w:eastAsia="en-GB" w:bidi="ar-SA"/>
              </w:rPr>
              <w:t xml:space="preserve">. </w:t>
            </w:r>
          </w:p>
          <w:p>
            <w:pPr>
              <w:pStyle w:val="Normal"/>
              <w:widowControl w:val="false"/>
              <w:suppressAutoHyphens w:val="true"/>
              <w:spacing w:lineRule="auto" w:line="259" w:before="0" w:after="0"/>
              <w:ind w:left="5" w:hanging="0"/>
              <w:jc w:val="left"/>
              <w:rPr>
                <w:kern w:val="2"/>
                <w:szCs w:val="24"/>
                <w:lang w:val="en-GB" w:eastAsia="en-GB" w:bidi="ar-SA"/>
              </w:rPr>
            </w:pPr>
            <w:r>
              <w:rPr>
                <w:kern w:val="2"/>
                <w:szCs w:val="24"/>
                <w:lang w:val="en-GB" w:eastAsia="en-GB" w:bidi="ar-SA"/>
              </w:rPr>
              <w:t xml:space="preserve"> </w:t>
            </w:r>
          </w:p>
        </w:tc>
      </w:tr>
    </w:tbl>
    <w:p>
      <w:pPr>
        <w:pStyle w:val="Normal"/>
        <w:spacing w:lineRule="auto" w:line="259"/>
        <w:ind w:left="238" w:hanging="0"/>
        <w:jc w:val="left"/>
        <w:rPr/>
      </w:pPr>
      <w:r>
        <w:rPr/>
        <mc:AlternateContent>
          <mc:Choice Requires="wpg">
            <w:drawing>
              <wp:inline distT="0" distB="0" distL="0" distR="0" wp14:anchorId="6DB7BEB8">
                <wp:extent cx="5736590" cy="8890"/>
                <wp:effectExtent l="0" t="0" r="0" b="0"/>
                <wp:docPr id="1" name="Shape1"/>
                <a:graphic xmlns:a="http://schemas.openxmlformats.org/drawingml/2006/main">
                  <a:graphicData uri="http://schemas.microsoft.com/office/word/2010/wordprocessingGroup">
                    <wpg:wgp>
                      <wpg:cNvGrpSpPr/>
                      <wpg:grpSpPr>
                        <a:xfrm>
                          <a:off x="0" y="0"/>
                          <a:ext cx="5735880" cy="8280"/>
                          <a:chOff x="0" y="-9000"/>
                          <a:chExt cx="5735880" cy="8280"/>
                        </a:xfrm>
                      </wpg:grpSpPr>
                      <wps:wsp>
                        <wps:cNvSpPr/>
                        <wps:spPr>
                          <a:xfrm>
                            <a:off x="0" y="0"/>
                            <a:ext cx="756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2862720" y="0"/>
                            <a:ext cx="684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728320" y="0"/>
                            <a:ext cx="7560" cy="828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1" style="position:absolute;margin-left:0pt;margin-top:-0.7pt;width:451.65pt;height:0.65pt" coordorigin="0,-14" coordsize="9033,13"/>
            </w:pict>
          </mc:Fallback>
        </mc:AlternateContent>
      </w:r>
    </w:p>
    <w:p>
      <w:pPr>
        <w:pStyle w:val="Normal"/>
        <w:spacing w:lineRule="auto" w:line="259" w:before="0" w:after="131"/>
        <w:ind w:left="0" w:hanging="0"/>
        <w:jc w:val="left"/>
        <w:rPr/>
      </w:pPr>
      <w:r>
        <w:rPr>
          <w:sz w:val="20"/>
        </w:rPr>
        <w:t xml:space="preserve"> </w:t>
      </w:r>
    </w:p>
    <w:p>
      <w:pPr>
        <w:pStyle w:val="Normal"/>
        <w:numPr>
          <w:ilvl w:val="0"/>
          <w:numId w:val="11"/>
        </w:numPr>
        <w:spacing w:before="0" w:after="169"/>
        <w:ind w:left="211" w:right="647" w:hanging="10"/>
        <w:rPr/>
      </w:pPr>
      <w:r>
        <w:rPr/>
        <w:t>‘</w:t>
      </w:r>
      <w:r>
        <w:rPr/>
        <w:t xml:space="preserve">director’ includes a member of the committee of management of an industrial and provident society. </w:t>
      </w:r>
    </w:p>
    <w:p>
      <w:pPr>
        <w:pStyle w:val="Normal"/>
        <w:numPr>
          <w:ilvl w:val="0"/>
          <w:numId w:val="11"/>
        </w:numPr>
        <w:ind w:left="211" w:right="647" w:hanging="10"/>
        <w:rPr/>
      </w:pPr>
      <w:r>
        <w:rPr/>
        <w:t>‘</w:t>
      </w:r>
      <w:r>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pPr>
        <w:pStyle w:val="Normal"/>
        <w:spacing w:lineRule="auto" w:line="259" w:before="0" w:after="0"/>
        <w:ind w:left="0" w:hanging="0"/>
        <w:jc w:val="left"/>
        <w:rPr/>
      </w:pPr>
      <w:r>
        <w:rPr>
          <w:b/>
        </w:rPr>
        <w:t xml:space="preserve"> </w:t>
      </w:r>
      <w:r>
        <w:rPr>
          <w:b/>
        </w:rPr>
        <w:tab/>
        <w:t xml:space="preserve"> </w:t>
      </w:r>
    </w:p>
    <w:p>
      <w:pPr>
        <w:pStyle w:val="Normal"/>
        <w:spacing w:lineRule="auto" w:line="266" w:before="0" w:after="5"/>
        <w:ind w:left="226" w:right="58" w:hanging="10"/>
        <w:rPr/>
      </w:pPr>
      <w:r>
        <w:rPr>
          <w:b/>
        </w:rPr>
        <w:t xml:space="preserve">Table 2: Other Registrable Interests </w:t>
      </w:r>
    </w:p>
    <w:p>
      <w:pPr>
        <w:pStyle w:val="Normal"/>
        <w:spacing w:lineRule="auto" w:line="259" w:before="0" w:after="38"/>
        <w:ind w:left="0" w:hanging="0"/>
        <w:jc w:val="left"/>
        <w:rPr/>
      </w:pPr>
      <w:r>
        <w:rPr>
          <w:b/>
          <w:sz w:val="20"/>
        </w:rPr>
        <w:t xml:space="preserve"> </w:t>
      </w:r>
    </w:p>
    <w:p>
      <w:pPr>
        <w:pStyle w:val="Normal"/>
        <w:spacing w:lineRule="auto" w:line="259" w:before="0" w:after="0"/>
        <w:ind w:left="250" w:hanging="0"/>
        <w:jc w:val="left"/>
        <w:rPr/>
      </w:pPr>
      <w:r>
        <w:rPr>
          <w:b/>
          <w:sz w:val="21"/>
        </w:rPr>
        <w:t xml:space="preserve"> </w:t>
      </w:r>
    </w:p>
    <w:p>
      <w:pPr>
        <w:pStyle w:val="Normal"/>
        <w:ind w:left="341" w:right="73" w:hanging="10"/>
        <w:rPr/>
      </w:pPr>
      <w:r>
        <w:rPr/>
        <w:t xml:space="preserve">You must register as an Other Registerable Interest: </w:t>
      </w:r>
    </w:p>
    <w:p>
      <w:pPr>
        <w:pStyle w:val="Normal"/>
        <w:spacing w:lineRule="auto" w:line="259" w:before="0" w:after="0"/>
        <w:ind w:left="250" w:hanging="0"/>
        <w:jc w:val="left"/>
        <w:rPr/>
      </w:pPr>
      <w:r>
        <w:rPr>
          <w:sz w:val="21"/>
        </w:rPr>
        <w:t xml:space="preserve"> </w:t>
      </w:r>
    </w:p>
    <w:p>
      <w:pPr>
        <w:pStyle w:val="Normal"/>
        <w:numPr>
          <w:ilvl w:val="1"/>
          <w:numId w:val="11"/>
        </w:numPr>
        <w:ind w:left="830" w:right="73" w:hanging="254"/>
        <w:rPr/>
      </w:pPr>
      <w:r>
        <w:rPr/>
        <w:t xml:space="preserve">any unpaid directorships </w:t>
      </w:r>
    </w:p>
    <w:p>
      <w:pPr>
        <w:pStyle w:val="Normal"/>
        <w:spacing w:lineRule="auto" w:line="259" w:before="0" w:after="0"/>
        <w:ind w:left="250" w:hanging="0"/>
        <w:jc w:val="left"/>
        <w:rPr/>
      </w:pPr>
      <w:r>
        <w:rPr/>
        <w:t xml:space="preserve"> </w:t>
      </w:r>
    </w:p>
    <w:p>
      <w:pPr>
        <w:pStyle w:val="Normal"/>
        <w:numPr>
          <w:ilvl w:val="1"/>
          <w:numId w:val="11"/>
        </w:numPr>
        <w:ind w:left="830" w:right="73" w:hanging="254"/>
        <w:rPr/>
      </w:pPr>
      <w:r>
        <mc:AlternateContent>
          <mc:Choice Requires="wpg">
            <w:drawing>
              <wp:anchor behindDoc="1" distT="0" distB="0" distL="0" distR="0" simplePos="0" locked="0" layoutInCell="0" allowOverlap="1" relativeHeight="4" wp14:anchorId="0D5ED0BA">
                <wp:simplePos x="0" y="0"/>
                <wp:positionH relativeFrom="column">
                  <wp:posOffset>151130</wp:posOffset>
                </wp:positionH>
                <wp:positionV relativeFrom="paragraph">
                  <wp:posOffset>-812800</wp:posOffset>
                </wp:positionV>
                <wp:extent cx="5736590" cy="2261235"/>
                <wp:effectExtent l="0" t="0" r="0" b="0"/>
                <wp:wrapNone/>
                <wp:docPr id="2" name="Group 40142"/>
                <a:graphic xmlns:a="http://schemas.openxmlformats.org/drawingml/2006/main">
                  <a:graphicData uri="http://schemas.microsoft.com/office/word/2010/wordprocessingGroup">
                    <wpg:wgp>
                      <wpg:cNvGrpSpPr/>
                      <wpg:grpSpPr>
                        <a:xfrm>
                          <a:off x="0" y="0"/>
                          <a:ext cx="5735880" cy="2260440"/>
                          <a:chOff x="151200" y="-812880"/>
                          <a:chExt cx="5735880" cy="2260440"/>
                        </a:xfrm>
                      </wpg:grpSpPr>
                      <wps:wsp>
                        <wps:cNvSpPr/>
                        <wps:spPr>
                          <a:xfrm>
                            <a:off x="0" y="0"/>
                            <a:ext cx="5735880" cy="2259360"/>
                          </a:xfrm>
                          <a:custGeom>
                            <a:avLst/>
                            <a:gdLst/>
                            <a:ahLst/>
                            <a:rect l="l" t="t" r="r" b="b"/>
                            <a:pathLst>
                              <a:path w="5735320" h="2258695">
                                <a:moveTo>
                                  <a:pt x="0" y="0"/>
                                </a:moveTo>
                                <a:lnTo>
                                  <a:pt x="5735320" y="0"/>
                                </a:lnTo>
                                <a:lnTo>
                                  <a:pt x="5735320" y="2258695"/>
                                </a:lnTo>
                                <a:lnTo>
                                  <a:pt x="5727701" y="2258695"/>
                                </a:lnTo>
                                <a:lnTo>
                                  <a:pt x="5727701" y="7620"/>
                                </a:lnTo>
                                <a:lnTo>
                                  <a:pt x="7620" y="7620"/>
                                </a:lnTo>
                                <a:lnTo>
                                  <a:pt x="7620" y="2258695"/>
                                </a:lnTo>
                                <a:lnTo>
                                  <a:pt x="0" y="2258695"/>
                                </a:lnTo>
                                <a:lnTo>
                                  <a:pt x="0" y="0"/>
                                </a:lnTo>
                                <a:close/>
                              </a:path>
                            </a:pathLst>
                          </a:custGeom>
                          <a:solidFill>
                            <a:srgbClr val="000000"/>
                          </a:solidFill>
                          <a:ln w="0">
                            <a:noFill/>
                          </a:ln>
                        </wps:spPr>
                        <wps:style>
                          <a:lnRef idx="0"/>
                          <a:fillRef idx="0"/>
                          <a:effectRef idx="0"/>
                          <a:fontRef idx="minor"/>
                        </wps:style>
                        <wps:bodyPr/>
                      </wps:wsp>
                      <pic:pic xmlns:pic="http://schemas.openxmlformats.org/drawingml/2006/picture">
                        <pic:nvPicPr>
                          <pic:cNvPr id="0" name="Picture 6085" descr=""/>
                          <pic:cNvPicPr/>
                        </pic:nvPicPr>
                        <pic:blipFill>
                          <a:blip r:embed="rId35"/>
                          <a:stretch/>
                        </pic:blipFill>
                        <pic:spPr>
                          <a:xfrm>
                            <a:off x="6840" y="7560"/>
                            <a:ext cx="5721840" cy="2252880"/>
                          </a:xfrm>
                          <a:prstGeom prst="rect">
                            <a:avLst/>
                          </a:prstGeom>
                          <a:ln w="0">
                            <a:noFill/>
                          </a:ln>
                        </pic:spPr>
                      </pic:pic>
                      <wps:wsp>
                        <wps:cNvSpPr/>
                        <wps:spPr>
                          <a:xfrm>
                            <a:off x="803160" y="1508760"/>
                            <a:ext cx="12240" cy="7740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03160" y="147816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836280" y="1476360"/>
                            <a:ext cx="34200" cy="141480"/>
                          </a:xfrm>
                          <a:custGeom>
                            <a:avLst/>
                            <a:gdLst/>
                            <a:ahLst/>
                            <a:rect l="l" t="t" r="r" b="b"/>
                            <a:pathLst>
                              <a:path w="35687" h="143129">
                                <a:moveTo>
                                  <a:pt x="0" y="0"/>
                                </a:moveTo>
                                <a:lnTo>
                                  <a:pt x="9525" y="0"/>
                                </a:lnTo>
                                <a:cubicBezTo>
                                  <a:pt x="18669" y="12447"/>
                                  <a:pt x="25527" y="25019"/>
                                  <a:pt x="29972" y="37592"/>
                                </a:cubicBezTo>
                                <a:cubicBezTo>
                                  <a:pt x="33782" y="48387"/>
                                  <a:pt x="35687" y="59690"/>
                                  <a:pt x="35687" y="71501"/>
                                </a:cubicBezTo>
                                <a:cubicBezTo>
                                  <a:pt x="35687" y="84836"/>
                                  <a:pt x="33147" y="97790"/>
                                  <a:pt x="28067" y="110363"/>
                                </a:cubicBezTo>
                                <a:cubicBezTo>
                                  <a:pt x="22987" y="122810"/>
                                  <a:pt x="16764" y="133731"/>
                                  <a:pt x="9525" y="143129"/>
                                </a:cubicBezTo>
                                <a:lnTo>
                                  <a:pt x="0" y="143129"/>
                                </a:lnTo>
                                <a:cubicBezTo>
                                  <a:pt x="14732" y="119253"/>
                                  <a:pt x="21971" y="95377"/>
                                  <a:pt x="21971" y="71501"/>
                                </a:cubicBezTo>
                                <a:cubicBezTo>
                                  <a:pt x="21971" y="62230"/>
                                  <a:pt x="20955" y="52960"/>
                                  <a:pt x="18796" y="43815"/>
                                </a:cubicBezTo>
                                <a:cubicBezTo>
                                  <a:pt x="17145" y="36323"/>
                                  <a:pt x="14859" y="29211"/>
                                  <a:pt x="11811" y="22352"/>
                                </a:cubicBezTo>
                                <a:cubicBezTo>
                                  <a:pt x="9906" y="17907"/>
                                  <a:pt x="5969" y="10414"/>
                                  <a:pt x="0" y="0"/>
                                </a:cubicBezTo>
                                <a:close/>
                              </a:path>
                            </a:pathLst>
                          </a:custGeom>
                          <a:solidFill>
                            <a:srgbClr val="000000"/>
                          </a:solidFill>
                          <a:ln w="0">
                            <a:noFill/>
                          </a:ln>
                        </wps:spPr>
                        <wps:style>
                          <a:lnRef idx="0"/>
                          <a:fillRef idx="0"/>
                          <a:effectRef idx="0"/>
                          <a:fontRef idx="minor"/>
                        </wps:style>
                        <wps:bodyPr/>
                      </wps:wsp>
                      <wps:wsp>
                        <wps:cNvSpPr/>
                        <wps:spPr>
                          <a:xfrm>
                            <a:off x="753840" y="1476360"/>
                            <a:ext cx="34200" cy="141480"/>
                          </a:xfrm>
                          <a:custGeom>
                            <a:avLst/>
                            <a:gdLst/>
                            <a:ahLst/>
                            <a:rect l="l" t="t" r="r" b="b"/>
                            <a:pathLst>
                              <a:path w="35687" h="143129">
                                <a:moveTo>
                                  <a:pt x="26162" y="0"/>
                                </a:moveTo>
                                <a:lnTo>
                                  <a:pt x="35687" y="0"/>
                                </a:lnTo>
                                <a:cubicBezTo>
                                  <a:pt x="29718" y="10414"/>
                                  <a:pt x="25781" y="17780"/>
                                  <a:pt x="23876" y="22098"/>
                                </a:cubicBezTo>
                                <a:cubicBezTo>
                                  <a:pt x="20828" y="28956"/>
                                  <a:pt x="18542" y="36195"/>
                                  <a:pt x="16764" y="43561"/>
                                </a:cubicBezTo>
                                <a:cubicBezTo>
                                  <a:pt x="14732" y="52832"/>
                                  <a:pt x="13589" y="62230"/>
                                  <a:pt x="13589" y="71501"/>
                                </a:cubicBezTo>
                                <a:cubicBezTo>
                                  <a:pt x="13589" y="95377"/>
                                  <a:pt x="20955" y="119253"/>
                                  <a:pt x="35687" y="143129"/>
                                </a:cubicBezTo>
                                <a:lnTo>
                                  <a:pt x="26162" y="143129"/>
                                </a:lnTo>
                                <a:cubicBezTo>
                                  <a:pt x="18796" y="133731"/>
                                  <a:pt x="12700" y="122810"/>
                                  <a:pt x="7620" y="110363"/>
                                </a:cubicBezTo>
                                <a:cubicBezTo>
                                  <a:pt x="2540" y="97790"/>
                                  <a:pt x="0" y="84836"/>
                                  <a:pt x="0" y="71501"/>
                                </a:cubicBezTo>
                                <a:cubicBezTo>
                                  <a:pt x="0" y="59690"/>
                                  <a:pt x="1905" y="48387"/>
                                  <a:pt x="5715" y="37592"/>
                                </a:cubicBezTo>
                                <a:cubicBezTo>
                                  <a:pt x="10033" y="25019"/>
                                  <a:pt x="16891" y="12447"/>
                                  <a:pt x="26162" y="0"/>
                                </a:cubicBezTo>
                                <a:close/>
                              </a:path>
                            </a:pathLst>
                          </a:custGeom>
                          <a:solidFill>
                            <a:srgbClr val="000000"/>
                          </a:solidFill>
                          <a:ln w="0">
                            <a:noFill/>
                          </a:ln>
                        </wps:spPr>
                        <wps:style>
                          <a:lnRef idx="0"/>
                          <a:fillRef idx="0"/>
                          <a:effectRef idx="0"/>
                          <a:fontRef idx="minor"/>
                        </wps:style>
                        <wps:bodyPr/>
                      </wps:wsp>
                      <wps:wsp>
                        <wps:cNvSpPr/>
                        <wps:spPr>
                          <a:xfrm>
                            <a:off x="837000" y="1679400"/>
                            <a:ext cx="12240" cy="7812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03160" y="1679400"/>
                            <a:ext cx="12240" cy="7812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37000" y="164916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803160" y="164916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870120" y="1647360"/>
                            <a:ext cx="34200" cy="142200"/>
                          </a:xfrm>
                          <a:custGeom>
                            <a:avLst/>
                            <a:gdLst/>
                            <a:ahLst/>
                            <a:rect l="l" t="t" r="r" b="b"/>
                            <a:pathLst>
                              <a:path w="35687" h="143129">
                                <a:moveTo>
                                  <a:pt x="0" y="0"/>
                                </a:moveTo>
                                <a:lnTo>
                                  <a:pt x="9525" y="0"/>
                                </a:lnTo>
                                <a:cubicBezTo>
                                  <a:pt x="18669" y="12447"/>
                                  <a:pt x="25527" y="25019"/>
                                  <a:pt x="29972" y="37592"/>
                                </a:cubicBezTo>
                                <a:cubicBezTo>
                                  <a:pt x="33782" y="48387"/>
                                  <a:pt x="35687" y="59690"/>
                                  <a:pt x="35687" y="71501"/>
                                </a:cubicBezTo>
                                <a:cubicBezTo>
                                  <a:pt x="35687" y="84836"/>
                                  <a:pt x="33147" y="97790"/>
                                  <a:pt x="28067" y="110363"/>
                                </a:cubicBezTo>
                                <a:cubicBezTo>
                                  <a:pt x="22987" y="122810"/>
                                  <a:pt x="16764" y="133731"/>
                                  <a:pt x="9525" y="143129"/>
                                </a:cubicBezTo>
                                <a:lnTo>
                                  <a:pt x="0" y="143129"/>
                                </a:lnTo>
                                <a:cubicBezTo>
                                  <a:pt x="14732" y="119253"/>
                                  <a:pt x="21971" y="95377"/>
                                  <a:pt x="21971" y="71501"/>
                                </a:cubicBezTo>
                                <a:cubicBezTo>
                                  <a:pt x="21971" y="62230"/>
                                  <a:pt x="20955" y="52960"/>
                                  <a:pt x="18796" y="43815"/>
                                </a:cubicBezTo>
                                <a:cubicBezTo>
                                  <a:pt x="17145" y="36323"/>
                                  <a:pt x="14859" y="29210"/>
                                  <a:pt x="11811" y="22352"/>
                                </a:cubicBezTo>
                                <a:cubicBezTo>
                                  <a:pt x="9906" y="17907"/>
                                  <a:pt x="5969" y="10414"/>
                                  <a:pt x="0" y="0"/>
                                </a:cubicBezTo>
                                <a:close/>
                              </a:path>
                            </a:pathLst>
                          </a:custGeom>
                          <a:solidFill>
                            <a:srgbClr val="000000"/>
                          </a:solidFill>
                          <a:ln w="0">
                            <a:noFill/>
                          </a:ln>
                        </wps:spPr>
                        <wps:style>
                          <a:lnRef idx="0"/>
                          <a:fillRef idx="0"/>
                          <a:effectRef idx="0"/>
                          <a:fontRef idx="minor"/>
                        </wps:style>
                        <wps:bodyPr/>
                      </wps:wsp>
                      <wps:wsp>
                        <wps:cNvSpPr/>
                        <wps:spPr>
                          <a:xfrm>
                            <a:off x="753840" y="1647360"/>
                            <a:ext cx="34200" cy="142200"/>
                          </a:xfrm>
                          <a:custGeom>
                            <a:avLst/>
                            <a:gdLst/>
                            <a:ahLst/>
                            <a:rect l="l" t="t" r="r" b="b"/>
                            <a:pathLst>
                              <a:path w="35687" h="143129">
                                <a:moveTo>
                                  <a:pt x="26162" y="0"/>
                                </a:moveTo>
                                <a:lnTo>
                                  <a:pt x="35687" y="0"/>
                                </a:lnTo>
                                <a:cubicBezTo>
                                  <a:pt x="29718" y="10414"/>
                                  <a:pt x="25781" y="17780"/>
                                  <a:pt x="23876" y="22098"/>
                                </a:cubicBezTo>
                                <a:cubicBezTo>
                                  <a:pt x="20828" y="28956"/>
                                  <a:pt x="18542" y="36195"/>
                                  <a:pt x="16764" y="43561"/>
                                </a:cubicBezTo>
                                <a:cubicBezTo>
                                  <a:pt x="14732" y="52832"/>
                                  <a:pt x="13589" y="62230"/>
                                  <a:pt x="13589" y="71501"/>
                                </a:cubicBezTo>
                                <a:cubicBezTo>
                                  <a:pt x="13589" y="95377"/>
                                  <a:pt x="20955" y="119253"/>
                                  <a:pt x="35687" y="143129"/>
                                </a:cubicBezTo>
                                <a:lnTo>
                                  <a:pt x="26162" y="143129"/>
                                </a:lnTo>
                                <a:cubicBezTo>
                                  <a:pt x="18796" y="133731"/>
                                  <a:pt x="12700" y="122810"/>
                                  <a:pt x="7620" y="110363"/>
                                </a:cubicBezTo>
                                <a:cubicBezTo>
                                  <a:pt x="2540" y="97790"/>
                                  <a:pt x="0" y="84836"/>
                                  <a:pt x="0" y="71501"/>
                                </a:cubicBezTo>
                                <a:cubicBezTo>
                                  <a:pt x="0" y="59690"/>
                                  <a:pt x="1905" y="48387"/>
                                  <a:pt x="5715" y="37592"/>
                                </a:cubicBezTo>
                                <a:cubicBezTo>
                                  <a:pt x="10033" y="25019"/>
                                  <a:pt x="16891" y="12447"/>
                                  <a:pt x="26162" y="0"/>
                                </a:cubicBezTo>
                                <a:close/>
                              </a:path>
                            </a:pathLst>
                          </a:custGeom>
                          <a:solidFill>
                            <a:srgbClr val="000000"/>
                          </a:solidFill>
                          <a:ln w="0">
                            <a:noFill/>
                          </a:ln>
                        </wps:spPr>
                        <wps:style>
                          <a:lnRef idx="0"/>
                          <a:fillRef idx="0"/>
                          <a:effectRef idx="0"/>
                          <a:fontRef idx="minor"/>
                        </wps:style>
                        <wps:bodyPr/>
                      </wps:wsp>
                      <wps:wsp>
                        <wps:cNvSpPr/>
                        <wps:spPr>
                          <a:xfrm>
                            <a:off x="870480" y="1850400"/>
                            <a:ext cx="12240" cy="7740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37000" y="1850400"/>
                            <a:ext cx="12240" cy="7740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03160" y="1850400"/>
                            <a:ext cx="12240" cy="77400"/>
                          </a:xfrm>
                          <a:custGeom>
                            <a:avLst/>
                            <a:gdLst/>
                            <a:ahLst/>
                            <a:rect l="l" t="t" r="r" b="b"/>
                            <a:pathLst>
                              <a:path w="13208" h="78994">
                                <a:moveTo>
                                  <a:pt x="0" y="0"/>
                                </a:moveTo>
                                <a:lnTo>
                                  <a:pt x="13208" y="0"/>
                                </a:lnTo>
                                <a:lnTo>
                                  <a:pt x="13208" y="78994"/>
                                </a:lnTo>
                                <a:lnTo>
                                  <a:pt x="0" y="78994"/>
                                </a:lnTo>
                                <a:lnTo>
                                  <a:pt x="0" y="0"/>
                                </a:lnTo>
                              </a:path>
                            </a:pathLst>
                          </a:custGeom>
                          <a:solidFill>
                            <a:srgbClr val="000000"/>
                          </a:solidFill>
                          <a:ln w="0">
                            <a:noFill/>
                          </a:ln>
                        </wps:spPr>
                        <wps:style>
                          <a:lnRef idx="0"/>
                          <a:fillRef idx="0"/>
                          <a:effectRef idx="0"/>
                          <a:fontRef idx="minor"/>
                        </wps:style>
                        <wps:bodyPr/>
                      </wps:wsp>
                      <wps:wsp>
                        <wps:cNvSpPr/>
                        <wps:spPr>
                          <a:xfrm>
                            <a:off x="870480" y="182052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837000" y="182052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803160" y="1820520"/>
                            <a:ext cx="12240" cy="14040"/>
                          </a:xfrm>
                          <a:custGeom>
                            <a:avLst/>
                            <a:gdLst/>
                            <a:ahLst/>
                            <a:rect l="l" t="t" r="r" b="b"/>
                            <a:pathLst>
                              <a:path w="13208" h="15367">
                                <a:moveTo>
                                  <a:pt x="0" y="0"/>
                                </a:moveTo>
                                <a:lnTo>
                                  <a:pt x="13208" y="0"/>
                                </a:lnTo>
                                <a:lnTo>
                                  <a:pt x="13208" y="15367"/>
                                </a:lnTo>
                                <a:lnTo>
                                  <a:pt x="0" y="15367"/>
                                </a:lnTo>
                                <a:lnTo>
                                  <a:pt x="0" y="0"/>
                                </a:lnTo>
                              </a:path>
                            </a:pathLst>
                          </a:custGeom>
                          <a:solidFill>
                            <a:srgbClr val="000000"/>
                          </a:solidFill>
                          <a:ln w="0">
                            <a:noFill/>
                          </a:ln>
                        </wps:spPr>
                        <wps:style>
                          <a:lnRef idx="0"/>
                          <a:fillRef idx="0"/>
                          <a:effectRef idx="0"/>
                          <a:fontRef idx="minor"/>
                        </wps:style>
                        <wps:bodyPr/>
                      </wps:wsp>
                      <wps:wsp>
                        <wps:cNvSpPr/>
                        <wps:spPr>
                          <a:xfrm>
                            <a:off x="902880" y="1818720"/>
                            <a:ext cx="34200" cy="141480"/>
                          </a:xfrm>
                          <a:custGeom>
                            <a:avLst/>
                            <a:gdLst/>
                            <a:ahLst/>
                            <a:rect l="l" t="t" r="r" b="b"/>
                            <a:pathLst>
                              <a:path w="35687" h="143129">
                                <a:moveTo>
                                  <a:pt x="0" y="0"/>
                                </a:moveTo>
                                <a:lnTo>
                                  <a:pt x="9525" y="0"/>
                                </a:lnTo>
                                <a:cubicBezTo>
                                  <a:pt x="18669" y="12447"/>
                                  <a:pt x="25527" y="25019"/>
                                  <a:pt x="29972" y="37592"/>
                                </a:cubicBezTo>
                                <a:cubicBezTo>
                                  <a:pt x="33782" y="48387"/>
                                  <a:pt x="35687" y="59690"/>
                                  <a:pt x="35687" y="71501"/>
                                </a:cubicBezTo>
                                <a:cubicBezTo>
                                  <a:pt x="35687" y="84836"/>
                                  <a:pt x="33147" y="97790"/>
                                  <a:pt x="28067" y="110363"/>
                                </a:cubicBezTo>
                                <a:cubicBezTo>
                                  <a:pt x="22987" y="122810"/>
                                  <a:pt x="16764" y="133731"/>
                                  <a:pt x="9525" y="143129"/>
                                </a:cubicBezTo>
                                <a:lnTo>
                                  <a:pt x="0" y="143129"/>
                                </a:lnTo>
                                <a:cubicBezTo>
                                  <a:pt x="14732" y="119253"/>
                                  <a:pt x="21971" y="95377"/>
                                  <a:pt x="21971" y="71501"/>
                                </a:cubicBezTo>
                                <a:cubicBezTo>
                                  <a:pt x="21971" y="62230"/>
                                  <a:pt x="20955" y="52960"/>
                                  <a:pt x="18796" y="43815"/>
                                </a:cubicBezTo>
                                <a:cubicBezTo>
                                  <a:pt x="17145" y="36322"/>
                                  <a:pt x="14859" y="29210"/>
                                  <a:pt x="11811" y="22352"/>
                                </a:cubicBezTo>
                                <a:cubicBezTo>
                                  <a:pt x="9906" y="17907"/>
                                  <a:pt x="5969" y="10414"/>
                                  <a:pt x="0" y="0"/>
                                </a:cubicBezTo>
                                <a:close/>
                              </a:path>
                            </a:pathLst>
                          </a:custGeom>
                          <a:solidFill>
                            <a:srgbClr val="000000"/>
                          </a:solidFill>
                          <a:ln w="0">
                            <a:noFill/>
                          </a:ln>
                        </wps:spPr>
                        <wps:style>
                          <a:lnRef idx="0"/>
                          <a:fillRef idx="0"/>
                          <a:effectRef idx="0"/>
                          <a:fontRef idx="minor"/>
                        </wps:style>
                        <wps:bodyPr/>
                      </wps:wsp>
                      <wps:wsp>
                        <wps:cNvSpPr/>
                        <wps:spPr>
                          <a:xfrm>
                            <a:off x="753840" y="1818720"/>
                            <a:ext cx="34200" cy="141480"/>
                          </a:xfrm>
                          <a:custGeom>
                            <a:avLst/>
                            <a:gdLst/>
                            <a:ahLst/>
                            <a:rect l="l" t="t" r="r" b="b"/>
                            <a:pathLst>
                              <a:path w="35687" h="143129">
                                <a:moveTo>
                                  <a:pt x="26162" y="0"/>
                                </a:moveTo>
                                <a:lnTo>
                                  <a:pt x="35687" y="0"/>
                                </a:lnTo>
                                <a:cubicBezTo>
                                  <a:pt x="29718" y="10414"/>
                                  <a:pt x="25781" y="17780"/>
                                  <a:pt x="23876" y="22098"/>
                                </a:cubicBezTo>
                                <a:cubicBezTo>
                                  <a:pt x="20828" y="28956"/>
                                  <a:pt x="18542" y="36195"/>
                                  <a:pt x="16764" y="43561"/>
                                </a:cubicBezTo>
                                <a:cubicBezTo>
                                  <a:pt x="14732" y="52832"/>
                                  <a:pt x="13589" y="62230"/>
                                  <a:pt x="13589" y="71501"/>
                                </a:cubicBezTo>
                                <a:cubicBezTo>
                                  <a:pt x="13589" y="95377"/>
                                  <a:pt x="20955" y="119253"/>
                                  <a:pt x="35687" y="143129"/>
                                </a:cubicBezTo>
                                <a:lnTo>
                                  <a:pt x="26162" y="143129"/>
                                </a:lnTo>
                                <a:cubicBezTo>
                                  <a:pt x="18796" y="133731"/>
                                  <a:pt x="12700" y="122810"/>
                                  <a:pt x="7620" y="110363"/>
                                </a:cubicBezTo>
                                <a:cubicBezTo>
                                  <a:pt x="2540" y="97790"/>
                                  <a:pt x="0" y="84836"/>
                                  <a:pt x="0" y="71501"/>
                                </a:cubicBezTo>
                                <a:cubicBezTo>
                                  <a:pt x="0" y="59690"/>
                                  <a:pt x="1905" y="48387"/>
                                  <a:pt x="5715" y="37592"/>
                                </a:cubicBezTo>
                                <a:cubicBezTo>
                                  <a:pt x="10033" y="25019"/>
                                  <a:pt x="16891" y="12447"/>
                                  <a:pt x="26162" y="0"/>
                                </a:cubicBez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40142" style="position:absolute;margin-left:11.9pt;margin-top:-64pt;width:451.65pt;height:178pt" coordorigin="238,-1280" coordsize="9033,3560">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6085" stroked="f" style="position:absolute;left:249;top:-1268;width:9010;height:3547;mso-wrap-style:none;v-text-anchor:middle" type="shapetype_75">
                  <v:imagedata r:id="rId35" o:detectmouseclick="t"/>
                  <v:stroke color="#3465a4" joinstyle="round" endcap="flat"/>
                  <w10:wrap type="none"/>
                </v:shape>
              </v:group>
            </w:pict>
          </mc:Fallback>
        </mc:AlternateContent>
      </w:r>
      <w:r>
        <w:rPr/>
        <w:t xml:space="preserve">) any body of which you are a member or are in a position of general control or management and to which you are nominated or appointed by your authority </w:t>
      </w:r>
    </w:p>
    <w:p>
      <w:pPr>
        <w:pStyle w:val="Normal"/>
        <w:spacing w:lineRule="auto" w:line="259" w:before="0" w:after="0"/>
        <w:ind w:left="250" w:hanging="0"/>
        <w:jc w:val="left"/>
        <w:rPr/>
      </w:pPr>
      <w:r>
        <w:rPr>
          <w:sz w:val="21"/>
        </w:rPr>
        <w:t xml:space="preserve"> </w:t>
      </w:r>
    </w:p>
    <w:p>
      <w:pPr>
        <w:pStyle w:val="Normal"/>
        <w:numPr>
          <w:ilvl w:val="1"/>
          <w:numId w:val="11"/>
        </w:numPr>
        <w:ind w:left="830" w:right="73" w:hanging="254"/>
        <w:rPr/>
      </w:pPr>
      <w:r>
        <w:rPr/>
        <w:t xml:space="preserve">any body exercising functions of a public nature </w:t>
      </w:r>
    </w:p>
    <w:p>
      <w:pPr>
        <w:pStyle w:val="Normal"/>
        <w:ind w:left="1845" w:right="73" w:hanging="10"/>
        <w:rPr/>
      </w:pPr>
      <w:r>
        <w:rPr/>
        <w:t xml:space="preserve">directed to charitable purposes or </w:t>
      </w:r>
    </w:p>
    <w:p>
      <w:pPr>
        <w:pStyle w:val="Normal"/>
        <w:spacing w:before="0" w:after="218"/>
        <w:ind w:left="1782" w:right="784" w:hanging="10"/>
        <w:rPr/>
      </w:pPr>
      <w:r>
        <w:rPr/>
        <w:t xml:space="preserve">one of whose principal purposes includes the influence of public opinion or policy (including any political party or trade union) </w:t>
      </w:r>
    </w:p>
    <w:p>
      <w:pPr>
        <w:pStyle w:val="Normal"/>
        <w:spacing w:lineRule="auto" w:line="259" w:before="0" w:after="3"/>
        <w:ind w:left="10" w:right="984" w:hanging="10"/>
        <w:jc w:val="right"/>
        <w:rPr/>
      </w:pPr>
      <w:r>
        <w:rPr/>
        <w:t xml:space="preserve">of which you are a member or in a position of general control or management </w:t>
      </w:r>
    </w:p>
    <w:p>
      <w:pPr>
        <w:pStyle w:val="Normal"/>
        <w:spacing w:lineRule="auto" w:line="259" w:before="0" w:after="0"/>
        <w:ind w:left="0" w:hanging="0"/>
        <w:jc w:val="left"/>
        <w:rPr/>
      </w:pPr>
      <w:r>
        <w:rPr>
          <w:sz w:val="20"/>
        </w:rPr>
        <w:t xml:space="preserve"> </w:t>
      </w:r>
    </w:p>
    <w:p>
      <w:pPr>
        <w:pStyle w:val="Normal"/>
        <w:spacing w:lineRule="auto" w:line="259" w:before="0" w:after="0"/>
        <w:ind w:left="0" w:hanging="0"/>
        <w:jc w:val="left"/>
        <w:rPr/>
      </w:pPr>
      <w:r>
        <w:rPr>
          <w:sz w:val="17"/>
        </w:rPr>
        <w:t xml:space="preserve"> </w:t>
      </w:r>
    </w:p>
    <w:p>
      <w:pPr>
        <w:pStyle w:val="Normal"/>
        <w:spacing w:lineRule="auto" w:line="259" w:before="0" w:after="0"/>
        <w:ind w:left="238" w:hanging="0"/>
        <w:jc w:val="left"/>
        <w:rPr/>
      </w:pPr>
      <w:r>
        <w:rPr/>
        <mc:AlternateContent>
          <mc:Choice Requires="wpg">
            <w:drawing>
              <wp:inline distT="0" distB="0" distL="0" distR="0" wp14:anchorId="2F686078">
                <wp:extent cx="5736590" cy="8890"/>
                <wp:effectExtent l="0" t="0" r="0" b="0"/>
                <wp:docPr id="3" name="Shape3"/>
                <a:graphic xmlns:a="http://schemas.openxmlformats.org/drawingml/2006/main">
                  <a:graphicData uri="http://schemas.microsoft.com/office/word/2010/wordprocessingGroup">
                    <wpg:wgp>
                      <wpg:cNvGrpSpPr/>
                      <wpg:grpSpPr>
                        <a:xfrm>
                          <a:off x="0" y="0"/>
                          <a:ext cx="5735880" cy="8280"/>
                          <a:chOff x="0" y="-9000"/>
                          <a:chExt cx="5735880" cy="8280"/>
                        </a:xfrm>
                      </wpg:grpSpPr>
                      <wps:wsp>
                        <wps:cNvSpPr/>
                        <wps:spPr>
                          <a:xfrm>
                            <a:off x="0" y="0"/>
                            <a:ext cx="5735880" cy="8280"/>
                          </a:xfrm>
                          <a:custGeom>
                            <a:avLst/>
                            <a:gdLst/>
                            <a:ahLst/>
                            <a:rect l="l" t="t" r="r" b="b"/>
                            <a:pathLst>
                              <a:path w="5735320" h="9144">
                                <a:moveTo>
                                  <a:pt x="0" y="0"/>
                                </a:moveTo>
                                <a:lnTo>
                                  <a:pt x="5735320" y="0"/>
                                </a:lnTo>
                                <a:lnTo>
                                  <a:pt x="5735320" y="9144"/>
                                </a:lnTo>
                                <a:lnTo>
                                  <a:pt x="0" y="9144"/>
                                </a:lnTo>
                                <a:lnTo>
                                  <a:pt x="0" y="0"/>
                                </a:lnTo>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Shape3" style="position:absolute;margin-left:0pt;margin-top:-0.7pt;width:451.65pt;height:0.65pt" coordorigin="0,-14" coordsize="9033,13"/>
            </w:pict>
          </mc:Fallback>
        </mc:AlternateContent>
      </w:r>
      <w:r>
        <w:br w:type="page"/>
      </w:r>
    </w:p>
    <w:p>
      <w:pPr>
        <w:pStyle w:val="Normal"/>
        <w:spacing w:lineRule="auto" w:line="266" w:before="0" w:after="101"/>
        <w:ind w:left="226" w:right="58" w:hanging="10"/>
        <w:rPr/>
      </w:pPr>
      <w:r>
        <w:rPr>
          <w:b/>
        </w:rPr>
        <w:t xml:space="preserve">Appendix C – the Committee on Standards in Public Life </w:t>
      </w:r>
    </w:p>
    <w:p>
      <w:pPr>
        <w:pStyle w:val="Normal"/>
        <w:spacing w:before="0" w:after="96"/>
        <w:ind w:left="10" w:right="698" w:hanging="10"/>
        <w:rPr/>
      </w:pPr>
      <w:r>
        <w:rPr/>
        <w:t>The LGA has undertaken this review whilst the Government continues to consider the recommendations made by the Committee on Standards in Public Life in their report on</w:t>
      </w:r>
      <w:hyperlink r:id="rId36">
        <w:r>
          <w:rPr/>
          <w:t xml:space="preserve"> </w:t>
        </w:r>
      </w:hyperlink>
      <w:hyperlink r:id="rId37">
        <w:r>
          <w:rPr>
            <w:color w:val="0461C1"/>
            <w:u w:val="single" w:color="0461C1"/>
          </w:rPr>
          <w:t>Local</w:t>
        </w:r>
      </w:hyperlink>
      <w:hyperlink r:id="rId38">
        <w:r>
          <w:rPr>
            <w:color w:val="0461C1"/>
            <w:u w:val="single" w:color="0461C1"/>
          </w:rPr>
          <w:t xml:space="preserve"> </w:t>
        </w:r>
      </w:hyperlink>
      <w:hyperlink r:id="rId39">
        <w:r>
          <w:rPr>
            <w:color w:val="0461C1"/>
            <w:u w:val="single" w:color="0461C1"/>
          </w:rPr>
          <w:t>Government</w:t>
        </w:r>
      </w:hyperlink>
      <w:hyperlink r:id="rId40">
        <w:r>
          <w:rPr>
            <w:color w:val="0461C1"/>
            <w:u w:val="single" w:color="0461C1"/>
          </w:rPr>
          <w:t xml:space="preserve"> </w:t>
        </w:r>
      </w:hyperlink>
      <w:hyperlink r:id="rId41">
        <w:r>
          <w:rPr>
            <w:color w:val="0461C1"/>
            <w:u w:val="single" w:color="0461C1"/>
          </w:rPr>
          <w:t>Ethical</w:t>
        </w:r>
      </w:hyperlink>
      <w:hyperlink r:id="rId42">
        <w:r>
          <w:rPr>
            <w:color w:val="0461C1"/>
            <w:u w:val="single" w:color="0461C1"/>
          </w:rPr>
          <w:t xml:space="preserve"> </w:t>
        </w:r>
      </w:hyperlink>
      <w:hyperlink r:id="rId43">
        <w:r>
          <w:rPr>
            <w:color w:val="0461C1"/>
            <w:u w:val="single" w:color="0461C1"/>
          </w:rPr>
          <w:t>Standard</w:t>
        </w:r>
      </w:hyperlink>
      <w:hyperlink r:id="rId44">
        <w:r>
          <w:rPr>
            <w:color w:val="0461C1"/>
            <w:u w:val="single" w:color="0461C1"/>
          </w:rPr>
          <w:t>s</w:t>
        </w:r>
      </w:hyperlink>
      <w:hyperlink r:id="rId45">
        <w:r>
          <w:rPr/>
          <w:t>.</w:t>
        </w:r>
      </w:hyperlink>
      <w:hyperlink r:id="rId46">
        <w:r>
          <w:rPr/>
          <w:t xml:space="preserve"> </w:t>
        </w:r>
      </w:hyperlink>
      <w:hyperlink r:id="rId47">
        <w:r>
          <w:rPr/>
          <w:t>I</w:t>
        </w:r>
      </w:hyperlink>
      <w:r>
        <w:rPr/>
        <w:t xml:space="preserve">f the Government chooses to implement any of the recommendations, this could require a change to this Code. </w:t>
      </w:r>
    </w:p>
    <w:p>
      <w:pPr>
        <w:pStyle w:val="Normal"/>
        <w:spacing w:before="0" w:after="136"/>
        <w:ind w:left="211" w:right="73" w:hanging="10"/>
        <w:rPr/>
      </w:pPr>
      <w:r>
        <w:rPr/>
        <w:t xml:space="preserve">The recommendations cover: </w:t>
      </w:r>
    </w:p>
    <w:p>
      <w:pPr>
        <w:pStyle w:val="Normal"/>
        <w:numPr>
          <w:ilvl w:val="1"/>
          <w:numId w:val="12"/>
        </w:numPr>
        <w:ind w:left="936" w:right="73" w:hanging="360"/>
        <w:rPr/>
      </w:pPr>
      <w:r>
        <w:rPr/>
        <w:t xml:space="preserve">Recommendations for changes to the Localism Act 2011 to clarify in law when the Code of Conduct applies </w:t>
      </w:r>
    </w:p>
    <w:p>
      <w:pPr>
        <w:pStyle w:val="Normal"/>
        <w:numPr>
          <w:ilvl w:val="1"/>
          <w:numId w:val="12"/>
        </w:numPr>
        <w:ind w:left="936" w:right="73" w:hanging="360"/>
        <w:rPr/>
      </w:pPr>
      <w:r>
        <w:rPr/>
        <w:t xml:space="preserve">The introduction of sanctions </w:t>
      </w:r>
    </w:p>
    <w:p>
      <w:pPr>
        <w:pStyle w:val="Normal"/>
        <w:numPr>
          <w:ilvl w:val="1"/>
          <w:numId w:val="12"/>
        </w:numPr>
        <w:ind w:left="936" w:right="73" w:hanging="360"/>
        <w:rPr/>
      </w:pPr>
      <w:r>
        <w:rPr/>
        <w:t xml:space="preserve">An appeals process through the Local Government Ombudsman </w:t>
      </w:r>
    </w:p>
    <w:p>
      <w:pPr>
        <w:pStyle w:val="Normal"/>
        <w:numPr>
          <w:ilvl w:val="1"/>
          <w:numId w:val="12"/>
        </w:numPr>
        <w:ind w:left="936" w:right="73" w:hanging="360"/>
        <w:rPr/>
      </w:pPr>
      <w:r>
        <w:rPr/>
        <w:t xml:space="preserve">Changes to the Relevant Authorities (Disclosable Pecuniary Interests) Regulations 2012 </w:t>
      </w:r>
    </w:p>
    <w:p>
      <w:pPr>
        <w:pStyle w:val="Normal"/>
        <w:numPr>
          <w:ilvl w:val="1"/>
          <w:numId w:val="12"/>
        </w:numPr>
        <w:ind w:left="936" w:right="73" w:hanging="360"/>
        <w:rPr/>
      </w:pPr>
      <w:r>
        <w:rPr/>
        <w:t xml:space="preserve">Updates to the Local Government Transparency Code </w:t>
      </w:r>
    </w:p>
    <w:p>
      <w:pPr>
        <w:pStyle w:val="Normal"/>
        <w:numPr>
          <w:ilvl w:val="1"/>
          <w:numId w:val="12"/>
        </w:numPr>
        <w:ind w:left="936" w:right="73" w:hanging="360"/>
        <w:rPr/>
      </w:pPr>
      <w:r>
        <w:rPr/>
        <w:t xml:space="preserve">Changes to the role and responsibilities of the Independent Person </w:t>
      </w:r>
    </w:p>
    <w:p>
      <w:pPr>
        <w:pStyle w:val="Normal"/>
        <w:numPr>
          <w:ilvl w:val="1"/>
          <w:numId w:val="12"/>
        </w:numPr>
        <w:spacing w:before="0" w:after="88"/>
        <w:ind w:left="936" w:right="73" w:hanging="360"/>
        <w:rPr/>
      </w:pPr>
      <w:r>
        <w:rPr/>
        <w:t xml:space="preserve">That the criminal offences in the Localism Act 2011 relating to Disclosable Pecuniary Interests should be abolished </w:t>
      </w:r>
    </w:p>
    <w:p>
      <w:pPr>
        <w:pStyle w:val="Normal"/>
        <w:spacing w:before="0" w:after="88"/>
        <w:ind w:left="211" w:right="429" w:hanging="10"/>
        <w:rPr/>
      </w:pPr>
      <w:r>
        <w:rPr/>
        <w:t xml:space="preserve">The Local Government Ethical Standards report also includes Best Practice recommendations. These are: </w:t>
      </w:r>
    </w:p>
    <w:p>
      <w:pPr>
        <w:pStyle w:val="Normal"/>
        <w:spacing w:before="0" w:after="91"/>
        <w:ind w:left="211" w:right="719" w:hanging="10"/>
        <w:rPr/>
      </w:pPr>
      <w:r>
        <w:rPr>
          <w:b/>
        </w:rPr>
        <w:t>Best practice 1</w:t>
      </w:r>
      <w:r>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pPr>
        <w:pStyle w:val="Normal"/>
        <w:spacing w:before="0" w:after="90"/>
        <w:ind w:left="211" w:right="382" w:hanging="10"/>
        <w:rPr/>
      </w:pPr>
      <w:r>
        <w:rPr>
          <w:b/>
        </w:rPr>
        <w:t>Best practice 2</w:t>
      </w:r>
      <w:r>
        <w:rPr/>
        <w:t xml:space="preserve">: Councils should include provisions in their code of conduct requiring councillors to comply with any formal standards investigation and prohibiting trivial or malicious allegations by councillors. </w:t>
      </w:r>
    </w:p>
    <w:p>
      <w:pPr>
        <w:pStyle w:val="Normal"/>
        <w:spacing w:before="0" w:after="120"/>
        <w:ind w:left="211" w:right="1080" w:hanging="10"/>
        <w:rPr/>
      </w:pPr>
      <w:r>
        <w:rPr>
          <w:b/>
        </w:rPr>
        <w:t>Best practice 3</w:t>
      </w:r>
      <w:r>
        <w:rPr/>
        <w:t xml:space="preserve">: Principal authorities should review their code of conduct each year and regularly seek, where possible, the views of the public, community organisations and neighbouring authorities. </w:t>
      </w:r>
    </w:p>
    <w:p>
      <w:pPr>
        <w:pStyle w:val="Normal"/>
        <w:spacing w:before="0" w:after="95"/>
        <w:ind w:left="211" w:right="553" w:hanging="10"/>
        <w:rPr/>
      </w:pPr>
      <w:r>
        <w:rPr>
          <w:b/>
        </w:rPr>
        <w:t>Best practice 4</w:t>
      </w:r>
      <w:r>
        <w:rPr/>
        <w:t xml:space="preserve">: An authority’s code should be readily accessible to both councillors and the public, in a prominent position on a council’s website and available in council premises. </w:t>
      </w:r>
    </w:p>
    <w:p>
      <w:pPr>
        <w:pStyle w:val="Normal"/>
        <w:spacing w:before="0" w:after="91"/>
        <w:ind w:left="211" w:right="385" w:hanging="10"/>
        <w:rPr/>
      </w:pPr>
      <w:r>
        <w:rPr>
          <w:b/>
        </w:rPr>
        <w:t>Best practice 5</w:t>
      </w:r>
      <w:r>
        <w:rPr/>
        <w:t xml:space="preserve">: Local authorities should update their gifts and hospitality register at least once per quarter, and publish it in an accessible format, such as CSV. </w:t>
      </w:r>
    </w:p>
    <w:p>
      <w:pPr>
        <w:pStyle w:val="Normal"/>
        <w:spacing w:before="0" w:after="90"/>
        <w:ind w:left="211" w:right="360" w:hanging="10"/>
        <w:rPr/>
      </w:pPr>
      <w:r>
        <w:rPr>
          <w:b/>
        </w:rPr>
        <w:t>Best practice 6</w:t>
      </w:r>
      <w:r>
        <w:rPr/>
        <w:t xml:space="preserve">: Councils should publish a clear and straightforward public interest test against which allegations are filtered. </w:t>
      </w:r>
    </w:p>
    <w:p>
      <w:pPr>
        <w:pStyle w:val="Normal"/>
        <w:spacing w:before="0" w:after="91"/>
        <w:ind w:left="211" w:right="759" w:hanging="10"/>
        <w:rPr/>
      </w:pPr>
      <w:r>
        <w:rPr>
          <w:b/>
        </w:rPr>
        <w:t>Best practice 7</w:t>
      </w:r>
      <w:r>
        <w:rPr/>
        <w:t xml:space="preserve">: Local authorities should have access to at least two Independent Persons. </w:t>
      </w:r>
    </w:p>
    <w:p>
      <w:pPr>
        <w:pStyle w:val="Normal"/>
        <w:spacing w:before="0" w:after="86"/>
        <w:ind w:left="211" w:right="772" w:hanging="10"/>
        <w:rPr/>
      </w:pPr>
      <w:r>
        <w:rPr>
          <w:b/>
        </w:rPr>
        <w:t>Best practice 8</w:t>
      </w:r>
      <w:r>
        <w:rPr/>
        <w:t xml:space="preserve">: An Independent Person should be consulted as to whether to undertake a formal investigation on an allegation, and should be given the option to review and comment on allegations which the responsible officer is minded to dismiss as being without merit, vexatious, or trivial. </w:t>
      </w:r>
    </w:p>
    <w:p>
      <w:pPr>
        <w:pStyle w:val="Normal"/>
        <w:spacing w:lineRule="auto" w:line="264" w:before="0" w:after="91"/>
        <w:ind w:left="211" w:right="562" w:hanging="10"/>
        <w:jc w:val="left"/>
        <w:rPr/>
      </w:pPr>
      <w:r>
        <w:rPr>
          <w:b/>
        </w:rPr>
        <w:t>Best practice 9</w:t>
      </w:r>
      <w:r>
        <w:rP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pPr>
        <w:pStyle w:val="Normal"/>
        <w:spacing w:before="0" w:after="90"/>
        <w:ind w:left="211" w:right="1028" w:hanging="10"/>
        <w:rPr/>
      </w:pPr>
      <w:r>
        <w:rPr>
          <w:b/>
        </w:rPr>
        <w:t>Best practice 10</w:t>
      </w:r>
      <w:r>
        <w:rPr/>
        <w:t xml:space="preserve">: A local authority should have straightforward and accessible guidance on its website on how to make a complaint under the code of conduct, the process for handling complaints, and estimated timescales for investigations and outcomes. </w:t>
      </w:r>
    </w:p>
    <w:p>
      <w:pPr>
        <w:pStyle w:val="Normal"/>
        <w:spacing w:before="0" w:after="122"/>
        <w:ind w:left="211" w:right="729" w:hanging="10"/>
        <w:rPr/>
      </w:pPr>
      <w:r>
        <w:rPr>
          <w:b/>
        </w:rPr>
        <w:t xml:space="preserve">Best practice 11: </w:t>
      </w:r>
      <w:r>
        <w:rPr/>
        <w:t xml:space="preserve">Formal standards complaints about the conduct of a parish councillor towards a clerk should be made by the chair or by the parish council, rather than the clerk in all but exceptional circumstances. </w:t>
      </w:r>
    </w:p>
    <w:p>
      <w:pPr>
        <w:pStyle w:val="Normal"/>
        <w:spacing w:before="0" w:after="91"/>
        <w:ind w:left="211" w:right="924" w:hanging="10"/>
        <w:rPr/>
      </w:pPr>
      <w:r>
        <w:rPr>
          <w:b/>
        </w:rPr>
        <w:t>Best practice 12</w:t>
      </w:r>
      <w:r>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pPr>
        <w:pStyle w:val="Normal"/>
        <w:spacing w:before="0" w:after="90"/>
        <w:ind w:left="211" w:right="1282" w:hanging="10"/>
        <w:rPr/>
      </w:pPr>
      <w:r>
        <w:rPr>
          <w:b/>
        </w:rPr>
        <w:t>Best practice 13</w:t>
      </w:r>
      <w:r>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pPr>
        <w:pStyle w:val="Normal"/>
        <w:spacing w:before="0" w:after="86"/>
        <w:ind w:left="211" w:right="751" w:hanging="10"/>
        <w:rPr/>
      </w:pPr>
      <w:r>
        <w:rPr>
          <w:b/>
        </w:rPr>
        <w:t>Best practice 14</w:t>
      </w:r>
      <w:r>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pPr>
        <w:pStyle w:val="Normal"/>
        <w:ind w:left="211" w:right="73" w:hanging="10"/>
        <w:rPr/>
      </w:pPr>
      <w:r>
        <w:rPr>
          <w:b/>
        </w:rPr>
        <w:t>Best practice 15</w:t>
      </w:r>
      <w:r>
        <w:rPr/>
        <w:t xml:space="preserve">: Senior officers should meet regularly with political group leaders or group whips to discuss standards issues. </w:t>
      </w:r>
    </w:p>
    <w:p>
      <w:pPr>
        <w:pStyle w:val="Normal"/>
        <w:spacing w:lineRule="auto" w:line="259" w:before="0" w:after="0"/>
        <w:ind w:left="0" w:hanging="0"/>
        <w:jc w:val="left"/>
        <w:rPr/>
      </w:pPr>
      <w:r>
        <w:rPr>
          <w:sz w:val="24"/>
        </w:rPr>
        <w:t xml:space="preserve"> </w:t>
      </w:r>
    </w:p>
    <w:p>
      <w:pPr>
        <w:pStyle w:val="Normal"/>
        <w:spacing w:lineRule="auto" w:line="259" w:before="0" w:after="0"/>
        <w:ind w:left="0" w:hanging="0"/>
        <w:jc w:val="left"/>
        <w:rPr/>
      </w:pPr>
      <w:r>
        <w:rPr>
          <w:sz w:val="21"/>
        </w:rPr>
        <w:t xml:space="preserve"> </w:t>
      </w:r>
    </w:p>
    <w:p>
      <w:pPr>
        <w:pStyle w:val="Normal"/>
        <w:spacing w:lineRule="auto" w:line="259" w:before="0" w:after="0"/>
        <w:ind w:left="216" w:hanging="0"/>
        <w:jc w:val="left"/>
        <w:rPr/>
      </w:pPr>
      <w:r>
        <w:rPr>
          <w:b/>
          <w:i/>
        </w:rPr>
        <w:t xml:space="preserve"> </w:t>
      </w:r>
    </w:p>
    <w:p>
      <w:pPr>
        <w:pStyle w:val="Normal"/>
        <w:spacing w:lineRule="auto" w:line="259" w:before="0" w:after="0"/>
        <w:ind w:left="0" w:hanging="0"/>
        <w:jc w:val="left"/>
        <w:rPr/>
      </w:pPr>
      <w:r>
        <w:rPr>
          <w:b/>
        </w:rPr>
        <w:t xml:space="preserve"> </w:t>
      </w:r>
      <w:r>
        <w:rPr>
          <w:b/>
        </w:rPr>
        <w:tab/>
        <w:t xml:space="preserve"> </w:t>
      </w:r>
    </w:p>
    <w:p>
      <w:pPr>
        <w:pStyle w:val="Normal"/>
        <w:spacing w:lineRule="auto" w:line="266" w:before="0" w:after="5"/>
        <w:ind w:left="226" w:right="58" w:hanging="10"/>
        <w:rPr/>
      </w:pPr>
      <w:r>
        <w:rPr>
          <w:b/>
        </w:rPr>
        <w:t xml:space="preserve">Appendix D - Guidance on Local Government Association Model Councillor Code of Conduct. </w:t>
      </w:r>
    </w:p>
    <w:p>
      <w:pPr>
        <w:pStyle w:val="Normal"/>
        <w:spacing w:lineRule="auto" w:line="259" w:before="0" w:after="0"/>
        <w:ind w:left="216" w:hanging="0"/>
        <w:jc w:val="left"/>
        <w:rPr/>
      </w:pPr>
      <w:r>
        <w:rPr>
          <w:b/>
        </w:rPr>
        <w:t xml:space="preserve"> </w:t>
      </w:r>
    </w:p>
    <w:p>
      <w:pPr>
        <w:pStyle w:val="Normal"/>
        <w:spacing w:lineRule="auto" w:line="228" w:before="0" w:after="10"/>
        <w:ind w:left="0" w:hanging="0"/>
        <w:jc w:val="left"/>
        <w:rPr/>
      </w:pPr>
      <w:hyperlink r:id="rId48">
        <w:r>
          <w:rPr>
            <w:color w:val="0563C1"/>
            <w:u w:val="single" w:color="0563C1"/>
          </w:rPr>
          <w:t>https://www.local.gov.uk/publications/guidance</w:t>
        </w:r>
      </w:hyperlink>
      <w:hyperlink r:id="rId49">
        <w:r>
          <w:rPr>
            <w:color w:val="0563C1"/>
            <w:u w:val="single" w:color="0563C1"/>
          </w:rPr>
          <w:t>-</w:t>
        </w:r>
      </w:hyperlink>
      <w:hyperlink r:id="rId50">
        <w:r>
          <w:rPr>
            <w:color w:val="0563C1"/>
            <w:u w:val="single" w:color="0563C1"/>
          </w:rPr>
          <w:t>local</w:t>
        </w:r>
      </w:hyperlink>
      <w:hyperlink r:id="rId51">
        <w:r>
          <w:rPr>
            <w:color w:val="0563C1"/>
            <w:u w:val="single" w:color="0563C1"/>
          </w:rPr>
          <w:t>-</w:t>
        </w:r>
      </w:hyperlink>
      <w:hyperlink r:id="rId52">
        <w:r>
          <w:rPr>
            <w:color w:val="0563C1"/>
            <w:u w:val="single" w:color="0563C1"/>
          </w:rPr>
          <w:t>government</w:t>
        </w:r>
      </w:hyperlink>
      <w:hyperlink r:id="rId53">
        <w:r>
          <w:rPr>
            <w:color w:val="0563C1"/>
            <w:u w:val="single" w:color="0563C1"/>
          </w:rPr>
          <w:t>-</w:t>
        </w:r>
      </w:hyperlink>
      <w:hyperlink r:id="rId54">
        <w:r>
          <w:rPr>
            <w:color w:val="0563C1"/>
            <w:u w:val="single" w:color="0563C1"/>
          </w:rPr>
          <w:t>association</w:t>
        </w:r>
      </w:hyperlink>
      <w:hyperlink r:id="rId55">
        <w:r>
          <w:rPr>
            <w:color w:val="0563C1"/>
            <w:u w:val="single" w:color="0563C1"/>
          </w:rPr>
          <w:t>-</w:t>
        </w:r>
      </w:hyperlink>
      <w:hyperlink r:id="rId56">
        <w:r>
          <w:rPr>
            <w:color w:val="0563C1"/>
            <w:u w:val="single" w:color="0563C1"/>
          </w:rPr>
          <w:t>model</w:t>
        </w:r>
      </w:hyperlink>
      <w:hyperlink r:id="rId57">
        <w:r>
          <w:rPr>
            <w:color w:val="0563C1"/>
            <w:u w:val="single" w:color="0563C1"/>
          </w:rPr>
          <w:t>-</w:t>
        </w:r>
      </w:hyperlink>
      <w:hyperlink r:id="rId58">
        <w:r>
          <w:rPr>
            <w:color w:val="0563C1"/>
            <w:u w:val="single" w:color="0563C1"/>
          </w:rPr>
          <w:t>councillor</w:t>
        </w:r>
      </w:hyperlink>
      <w:hyperlink r:id="rId59">
        <w:r>
          <w:rPr>
            <w:color w:val="0563C1"/>
            <w:u w:val="single" w:color="0563C1"/>
          </w:rPr>
          <w:t>-</w:t>
        </w:r>
      </w:hyperlink>
      <w:hyperlink r:id="rId60">
        <w:r>
          <w:rPr>
            <w:color w:val="0563C1"/>
            <w:u w:val="single" w:color="0563C1"/>
          </w:rPr>
          <w:t>code</w:t>
        </w:r>
      </w:hyperlink>
      <w:hyperlink r:id="rId61">
        <w:r>
          <w:rPr>
            <w:color w:val="0563C1"/>
            <w:u w:val="single" w:color="0563C1"/>
          </w:rPr>
          <w:t>conduct</w:t>
        </w:r>
      </w:hyperlink>
      <w:hyperlink r:id="rId62">
        <w:r>
          <w:rPr/>
          <w:t xml:space="preserve"> </w:t>
        </w:r>
      </w:hyperlink>
      <w:r>
        <w:rPr>
          <w:rFonts w:eastAsia="Calibri" w:cs="Calibri" w:ascii="Calibri" w:hAnsi="Calibri"/>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r>
        <w:rPr/>
        <w:tab/>
        <w:t xml:space="preserve"> </w:t>
      </w:r>
      <w:r>
        <w:br w:type="page"/>
      </w:r>
    </w:p>
    <w:p>
      <w:pPr>
        <w:pStyle w:val="Normal"/>
        <w:spacing w:lineRule="auto" w:line="266" w:before="0" w:after="5"/>
        <w:ind w:left="10" w:right="58" w:hanging="10"/>
        <w:rPr/>
      </w:pPr>
      <w:r>
        <w:rPr>
          <w:b/>
        </w:rPr>
        <w:t>Appendix E – The International Holocaust Remembrance Alliance Definition of AntiSemitism</w:t>
      </w:r>
      <w:r>
        <w:rPr/>
        <w:t xml:space="preserve"> </w:t>
      </w:r>
    </w:p>
    <w:p>
      <w:pPr>
        <w:pStyle w:val="Normal"/>
        <w:spacing w:lineRule="auto" w:line="259" w:before="0" w:after="0"/>
        <w:ind w:left="0" w:hanging="0"/>
        <w:jc w:val="left"/>
        <w:rPr/>
      </w:pPr>
      <w:r>
        <w:rPr/>
        <w:t xml:space="preserve"> </w:t>
      </w:r>
    </w:p>
    <w:p>
      <w:pPr>
        <w:pStyle w:val="Normal"/>
        <w:spacing w:lineRule="auto" w:line="266" w:before="0" w:after="5"/>
        <w:ind w:left="10" w:right="479" w:hanging="10"/>
        <w:rPr/>
      </w:pPr>
      <w:r>
        <w:rPr>
          <w:b/>
        </w:rPr>
        <w:t>“</w:t>
      </w:r>
      <w:r>
        <w:rPr>
          <w:b/>
        </w:rPr>
        <w:t xml:space="preserve">Antisemitism is a certain perception of Jews, which may be expressed as hatred toward Jews. Rhetorical and physical manifestations of antisemitism are directed toward Jewish or non-Jewish individuals and/or their property, toward Jewish community institutions and religious facilities.” </w:t>
      </w:r>
    </w:p>
    <w:p>
      <w:pPr>
        <w:pStyle w:val="Normal"/>
        <w:spacing w:lineRule="auto" w:line="259" w:before="0" w:after="0"/>
        <w:ind w:left="0" w:hanging="0"/>
        <w:jc w:val="left"/>
        <w:rPr/>
      </w:pPr>
      <w:r>
        <w:rPr>
          <w:b/>
        </w:rPr>
        <w:t xml:space="preserve"> </w:t>
      </w:r>
    </w:p>
    <w:p>
      <w:pPr>
        <w:pStyle w:val="Normal"/>
        <w:ind w:left="10" w:right="73" w:hanging="10"/>
        <w:rPr/>
      </w:pPr>
      <w:r>
        <w:rPr/>
        <w:t xml:space="preserve">Contemporary examples of antisemitism in public life, the media, schools, the workplace, and in the religious sphere could, taking into account the overall context, include, but are not limited to: </w:t>
      </w:r>
    </w:p>
    <w:p>
      <w:pPr>
        <w:pStyle w:val="Normal"/>
        <w:numPr>
          <w:ilvl w:val="0"/>
          <w:numId w:val="13"/>
        </w:numPr>
        <w:ind w:left="855" w:right="282" w:hanging="360"/>
        <w:rPr/>
      </w:pPr>
      <w:r>
        <w:rPr/>
        <w:t xml:space="preserve">Calling for, aiding, or justifying the killing or harming of Jews in the name of a radical ideology or an extremist view of religion.  </w:t>
      </w:r>
    </w:p>
    <w:p>
      <w:pPr>
        <w:pStyle w:val="Normal"/>
        <w:numPr>
          <w:ilvl w:val="0"/>
          <w:numId w:val="13"/>
        </w:numPr>
        <w:spacing w:lineRule="auto" w:line="264" w:before="0" w:after="5"/>
        <w:ind w:left="855" w:right="282" w:hanging="360"/>
        <w:rPr/>
      </w:pPr>
      <w:r>
        <w:rPr/>
        <w:t xml:space="preserve">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 </w:t>
      </w:r>
    </w:p>
    <w:p>
      <w:pPr>
        <w:pStyle w:val="Normal"/>
        <w:numPr>
          <w:ilvl w:val="0"/>
          <w:numId w:val="13"/>
        </w:numPr>
        <w:spacing w:lineRule="auto" w:line="264" w:before="0" w:after="5"/>
        <w:ind w:left="855" w:right="282" w:hanging="360"/>
        <w:rPr/>
      </w:pPr>
      <w:r>
        <w:rPr/>
        <w:t xml:space="preserve">Accusing Jews as a people of being responsible for real or imagined wrongdoing committed by a single Jewish person or group, or even for acts committed by nonJews. </w:t>
      </w:r>
    </w:p>
    <w:p>
      <w:pPr>
        <w:pStyle w:val="Normal"/>
        <w:numPr>
          <w:ilvl w:val="0"/>
          <w:numId w:val="13"/>
        </w:numPr>
        <w:ind w:left="855" w:right="282" w:hanging="360"/>
        <w:rPr/>
      </w:pPr>
      <w:r>
        <w:rPr/>
        <w:t xml:space="preserve">Denying the fact, scope, mechanisms (e.g. gas chambers) or intentionality of the genocide of the Jewish people at the hands of National Socialist Germany and its supporters and accomplices during World War II (the Holocaust). </w:t>
      </w:r>
    </w:p>
    <w:p>
      <w:pPr>
        <w:pStyle w:val="Normal"/>
        <w:numPr>
          <w:ilvl w:val="0"/>
          <w:numId w:val="13"/>
        </w:numPr>
        <w:ind w:left="855" w:right="282" w:hanging="360"/>
        <w:rPr/>
      </w:pPr>
      <w:r>
        <w:rPr/>
        <w:t xml:space="preserve">Accusing the Jews as a people, or Israel as a state, of inventing or exaggerating the Holocaust. </w:t>
      </w:r>
    </w:p>
    <w:p>
      <w:pPr>
        <w:pStyle w:val="Normal"/>
        <w:numPr>
          <w:ilvl w:val="0"/>
          <w:numId w:val="13"/>
        </w:numPr>
        <w:ind w:left="855" w:right="282" w:hanging="360"/>
        <w:rPr/>
      </w:pPr>
      <w:r>
        <w:rPr/>
        <w:t xml:space="preserve">Accusing Jewish citizens of being more loyal to Israel, or to the alleged priorities of Jews worldwide, than to the interests of their own nations. </w:t>
      </w:r>
    </w:p>
    <w:p>
      <w:pPr>
        <w:pStyle w:val="Normal"/>
        <w:numPr>
          <w:ilvl w:val="0"/>
          <w:numId w:val="13"/>
        </w:numPr>
        <w:ind w:left="855" w:right="282" w:hanging="360"/>
        <w:rPr/>
      </w:pPr>
      <w:r>
        <w:rPr/>
        <w:t xml:space="preserve">Denying the Jewish people their right to self-determination, e.g., by claiming that the existence of a State of Israel is a racist endeavor. </w:t>
      </w:r>
    </w:p>
    <w:p>
      <w:pPr>
        <w:pStyle w:val="Normal"/>
        <w:numPr>
          <w:ilvl w:val="0"/>
          <w:numId w:val="13"/>
        </w:numPr>
        <w:ind w:left="855" w:right="282" w:hanging="360"/>
        <w:rPr/>
      </w:pPr>
      <w:r>
        <w:rPr/>
        <w:t xml:space="preserve">Applying double standards by requiring of it a behavior not expected or demanded of any other democratic nation. </w:t>
      </w:r>
    </w:p>
    <w:p>
      <w:pPr>
        <w:pStyle w:val="Normal"/>
        <w:numPr>
          <w:ilvl w:val="0"/>
          <w:numId w:val="13"/>
        </w:numPr>
        <w:ind w:left="855" w:right="282" w:hanging="360"/>
        <w:rPr/>
      </w:pPr>
      <w:r>
        <w:rPr/>
        <w:t xml:space="preserve">Using the symbols and images associated with classic antisemitism (e.g., claims of Jews killing Jesus or blood libel) to characterize Israel or Israelis. </w:t>
      </w:r>
    </w:p>
    <w:p>
      <w:pPr>
        <w:pStyle w:val="Normal"/>
        <w:numPr>
          <w:ilvl w:val="0"/>
          <w:numId w:val="13"/>
        </w:numPr>
        <w:ind w:left="855" w:right="282" w:hanging="360"/>
        <w:rPr/>
      </w:pPr>
      <w:r>
        <w:rPr/>
        <w:t xml:space="preserve">Drawing comparisons of contemporary Israeli policy to that of the Nazis. </w:t>
      </w:r>
    </w:p>
    <w:p>
      <w:pPr>
        <w:pStyle w:val="Normal"/>
        <w:numPr>
          <w:ilvl w:val="0"/>
          <w:numId w:val="13"/>
        </w:numPr>
        <w:ind w:left="855" w:right="282" w:hanging="360"/>
        <w:rPr/>
      </w:pPr>
      <w:r>
        <w:rPr/>
        <w:t xml:space="preserve">Holding Jews collectively responsible for actions of the state of Israel. </w:t>
      </w:r>
    </w:p>
    <w:p>
      <w:pPr>
        <w:pStyle w:val="Normal"/>
        <w:spacing w:lineRule="auto" w:line="259" w:before="0" w:after="0"/>
        <w:ind w:left="0" w:hanging="0"/>
        <w:jc w:val="left"/>
        <w:rPr/>
      </w:pPr>
      <w:r>
        <w:rPr/>
        <w:t xml:space="preserve"> </w:t>
      </w:r>
    </w:p>
    <w:p>
      <w:pPr>
        <w:pStyle w:val="Normal"/>
        <w:ind w:left="10" w:right="73" w:hanging="10"/>
        <w:rPr/>
      </w:pPr>
      <w:r>
        <w:rPr>
          <w:b/>
        </w:rPr>
        <w:t>Antisemitic acts are criminal</w:t>
      </w:r>
      <w:r>
        <w:rPr/>
        <w:t xml:space="preserve"> when they are so defined by law (for example, denial of the Holocaust or distribution of antisemitic materials in some countries). </w:t>
      </w:r>
    </w:p>
    <w:p>
      <w:pPr>
        <w:pStyle w:val="Normal"/>
        <w:spacing w:lineRule="auto" w:line="259" w:before="0" w:after="0"/>
        <w:ind w:left="0" w:hanging="0"/>
        <w:jc w:val="left"/>
        <w:rPr/>
      </w:pPr>
      <w:r>
        <w:rPr/>
        <w:t xml:space="preserve"> </w:t>
      </w:r>
    </w:p>
    <w:p>
      <w:pPr>
        <w:pStyle w:val="Normal"/>
        <w:ind w:left="10" w:right="502" w:hanging="10"/>
        <w:rPr/>
      </w:pPr>
      <w:r>
        <w:rPr>
          <w:b/>
        </w:rPr>
        <w:t xml:space="preserve">Criminal acts are antisemitic </w:t>
      </w:r>
      <w:r>
        <w:rPr/>
        <w:t xml:space="preserve">when the targets of attacks, whether they are people or property – such as buildings, schools, places of worship and cemeteries – are selected because they are, or are perceived to be, Jewish or linked to Jews. </w:t>
      </w:r>
    </w:p>
    <w:p>
      <w:pPr>
        <w:pStyle w:val="Normal"/>
        <w:spacing w:lineRule="auto" w:line="259" w:before="0" w:after="0"/>
        <w:ind w:left="0" w:hanging="0"/>
        <w:jc w:val="left"/>
        <w:rPr/>
      </w:pPr>
      <w:r>
        <w:rPr/>
        <w:t xml:space="preserve"> </w:t>
      </w:r>
    </w:p>
    <w:p>
      <w:pPr>
        <w:pStyle w:val="Normal"/>
        <w:spacing w:before="0" w:after="13"/>
        <w:ind w:left="10" w:right="73" w:hanging="10"/>
        <w:rPr/>
      </w:pPr>
      <w:r>
        <w:rPr>
          <w:b/>
        </w:rPr>
        <w:t>Antisemitic discrimination</w:t>
      </w:r>
      <w:r>
        <w:rPr/>
        <w:t xml:space="preserve"> is the denial to Jews of opportunities or services available to others and is illegal in many countries. </w:t>
      </w:r>
    </w:p>
    <w:sectPr>
      <w:headerReference w:type="default" r:id="rId63"/>
      <w:footerReference w:type="default" r:id="rId64"/>
      <w:type w:val="nextPage"/>
      <w:pgSz w:w="11928" w:h="16862"/>
      <w:pgMar w:left="1200" w:right="949" w:header="12" w:top="2350" w:footer="1235" w:bottom="174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720" w:leader="none"/>
        <w:tab w:val="center" w:pos="1441" w:leader="none"/>
        <w:tab w:val="center" w:pos="2161" w:leader="none"/>
        <w:tab w:val="center" w:pos="2882" w:leader="none"/>
        <w:tab w:val="center" w:pos="3602" w:leader="none"/>
        <w:tab w:val="center" w:pos="4322" w:leader="none"/>
        <w:tab w:val="center" w:pos="5042" w:leader="none"/>
        <w:tab w:val="center" w:pos="5762" w:leader="none"/>
        <w:tab w:val="center" w:pos="6483" w:leader="none"/>
        <w:tab w:val="center" w:pos="7203" w:leader="none"/>
        <w:tab w:val="center" w:pos="8549" w:leader="none"/>
      </w:tabs>
      <w:spacing w:lineRule="auto" w:line="259" w:before="0" w:after="0"/>
      <w:ind w:left="0" w:hanging="0"/>
      <w:jc w:val="left"/>
      <w:rPr/>
    </w:pPr>
    <w:r>
      <w:rPr/>
      <w:t xml:space="preserve"> </w:t>
    </w:r>
    <w:r>
      <w:rPr>
        <w:sz w:val="20"/>
      </w:rPr>
      <w:t xml:space="preserve"> </w:t>
    </w:r>
    <w:r>
      <w:rPr>
        <w:sz w:val="20"/>
      </w:rPr>
      <w:tab/>
    </w:r>
    <w:r>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Page </w:t>
    </w:r>
    <w:r>
      <w:rPr>
        <w:b/>
      </w:rPr>
      <w:fldChar w:fldCharType="begin"/>
    </w:r>
    <w:r>
      <w:rPr>
        <w:b/>
      </w:rPr>
      <w:instrText> PAGE </w:instrText>
    </w:r>
    <w:r>
      <w:rPr>
        <w:b/>
      </w:rPr>
      <w:fldChar w:fldCharType="separate"/>
    </w:r>
    <w:r>
      <w:rPr>
        <w:b/>
      </w:rPr>
      <w:t>9</w:t>
    </w:r>
    <w:r>
      <w:rPr>
        <w:b/>
      </w:rPr>
      <w:fldChar w:fldCharType="end"/>
    </w:r>
    <w:r>
      <w:rPr/>
      <w:t xml:space="preserve"> of </w:t>
    </w:r>
    <w:r>
      <w:rPr>
        <w:b/>
      </w:rPr>
      <w:fldChar w:fldCharType="begin"/>
    </w:r>
    <w:r>
      <w:rPr>
        <w:b/>
      </w:rPr>
      <w:instrText> NUMPAGES </w:instrText>
    </w:r>
    <w:r>
      <w:rPr>
        <w:b/>
      </w:rPr>
      <w:fldChar w:fldCharType="separate"/>
    </w:r>
    <w:r>
      <w:rPr>
        <w:b/>
      </w:rPr>
      <w:t>18</w:t>
    </w:r>
    <w:r>
      <w:rPr>
        <w:b/>
      </w:rPr>
      <w:fldChar w:fldCharType="end"/>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60"/>
      <w:ind w:left="0" w:hanging="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720" w:leader="none"/>
        <w:tab w:val="center" w:pos="1441" w:leader="none"/>
        <w:tab w:val="center" w:pos="2161" w:leader="none"/>
        <w:tab w:val="center" w:pos="2882" w:leader="none"/>
        <w:tab w:val="center" w:pos="3602" w:leader="none"/>
        <w:tab w:val="center" w:pos="4322" w:leader="none"/>
        <w:tab w:val="center" w:pos="5042" w:leader="none"/>
        <w:tab w:val="center" w:pos="5762" w:leader="none"/>
        <w:tab w:val="center" w:pos="6483" w:leader="none"/>
        <w:tab w:val="center" w:pos="7203" w:leader="none"/>
        <w:tab w:val="center" w:pos="8609" w:leader="none"/>
      </w:tabs>
      <w:spacing w:lineRule="auto" w:line="259" w:before="0" w:after="0"/>
      <w:ind w:left="0" w:hanging="0"/>
      <w:jc w:val="left"/>
      <w:rPr/>
    </w:pPr>
    <w:r>
      <w:rPr/>
      <w:t xml:space="preserve"> </w:t>
    </w:r>
    <w:r>
      <w:rPr>
        <w:sz w:val="20"/>
      </w:rPr>
      <w:t xml:space="preserve"> </w:t>
    </w:r>
    <w:r>
      <w:rPr>
        <w:sz w:val="20"/>
      </w:rPr>
      <w:tab/>
    </w:r>
    <w:r>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Page </w:t>
    </w:r>
    <w:r>
      <w:rPr>
        <w:b/>
      </w:rPr>
      <w:fldChar w:fldCharType="begin"/>
    </w:r>
    <w:r>
      <w:rPr>
        <w:b/>
      </w:rPr>
      <w:instrText> PAGE </w:instrText>
    </w:r>
    <w:r>
      <w:rPr>
        <w:b/>
      </w:rPr>
      <w:fldChar w:fldCharType="separate"/>
    </w:r>
    <w:r>
      <w:rPr>
        <w:b/>
      </w:rPr>
      <w:t>12</w:t>
    </w:r>
    <w:r>
      <w:rPr>
        <w:b/>
      </w:rPr>
      <w:fldChar w:fldCharType="end"/>
    </w:r>
    <w:r>
      <w:rPr/>
      <w:t xml:space="preserve"> of </w:t>
    </w:r>
    <w:r>
      <w:rPr>
        <w:b/>
      </w:rPr>
      <w:fldChar w:fldCharType="begin"/>
    </w:r>
    <w:r>
      <w:rPr>
        <w:b/>
      </w:rPr>
      <w:instrText> NUMPAGES </w:instrText>
    </w:r>
    <w:r>
      <w:rPr>
        <w:b/>
      </w:rPr>
      <w:fldChar w:fldCharType="separate"/>
    </w:r>
    <w:r>
      <w:rPr>
        <w:b/>
      </w:rPr>
      <w:t>18</w:t>
    </w:r>
    <w:r>
      <w:rPr>
        <w:b/>
      </w:rPr>
      <w:fldChar w:fldCharType="end"/>
    </w:r>
    <w:r>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720" w:leader="none"/>
        <w:tab w:val="center" w:pos="1441" w:leader="none"/>
        <w:tab w:val="center" w:pos="2161" w:leader="none"/>
        <w:tab w:val="center" w:pos="2882" w:leader="none"/>
        <w:tab w:val="center" w:pos="3602" w:leader="none"/>
        <w:tab w:val="center" w:pos="4322" w:leader="none"/>
        <w:tab w:val="center" w:pos="5042" w:leader="none"/>
        <w:tab w:val="center" w:pos="5762" w:leader="none"/>
        <w:tab w:val="center" w:pos="6483" w:leader="none"/>
        <w:tab w:val="center" w:pos="7203" w:leader="none"/>
        <w:tab w:val="center" w:pos="8609" w:leader="none"/>
      </w:tabs>
      <w:spacing w:lineRule="auto" w:line="259" w:before="0" w:after="0"/>
      <w:ind w:left="0" w:hanging="0"/>
      <w:jc w:val="left"/>
      <w:rPr/>
    </w:pPr>
    <w:r>
      <w:rPr/>
      <w:t xml:space="preserve"> </w:t>
    </w:r>
    <w:r>
      <w:rPr>
        <w:sz w:val="20"/>
      </w:rPr>
      <w:t xml:space="preserve"> </w:t>
    </w:r>
    <w:r>
      <w:rPr>
        <w:sz w:val="20"/>
      </w:rPr>
      <w:tab/>
    </w:r>
    <w:r>
      <w:rPr/>
      <w:t xml:space="preserve"> </w:t>
      <w:tab/>
      <w:t xml:space="preserve"> </w:t>
      <w:tab/>
      <w:t xml:space="preserve"> </w:t>
      <w:tab/>
      <w:t xml:space="preserve"> </w:t>
      <w:tab/>
      <w:t xml:space="preserve"> </w:t>
      <w:tab/>
      <w:t xml:space="preserve"> </w:t>
      <w:tab/>
      <w:t xml:space="preserve"> </w:t>
      <w:tab/>
      <w:t xml:space="preserve"> </w:t>
      <w:tab/>
      <w:t xml:space="preserve"> </w:t>
      <w:tab/>
      <w:t xml:space="preserve"> </w:t>
      <w:tab/>
      <w:t xml:space="preserve">Page </w:t>
    </w:r>
    <w:r>
      <w:rPr>
        <w:b/>
      </w:rPr>
      <w:fldChar w:fldCharType="begin"/>
    </w:r>
    <w:r>
      <w:rPr>
        <w:b/>
      </w:rPr>
      <w:instrText> PAGE </w:instrText>
    </w:r>
    <w:r>
      <w:rPr>
        <w:b/>
      </w:rPr>
      <w:fldChar w:fldCharType="separate"/>
    </w:r>
    <w:r>
      <w:rPr>
        <w:b/>
      </w:rPr>
      <w:t>18</w:t>
    </w:r>
    <w:r>
      <w:rPr>
        <w:b/>
      </w:rPr>
      <w:fldChar w:fldCharType="end"/>
    </w:r>
    <w:r>
      <w:rPr/>
      <w:t xml:space="preserve"> of </w:t>
    </w:r>
    <w:r>
      <w:rPr>
        <w:b/>
      </w:rPr>
      <w:fldChar w:fldCharType="begin"/>
    </w:r>
    <w:r>
      <w:rPr>
        <w:b/>
      </w:rPr>
      <w:instrText> NUMPAGES </w:instrText>
    </w:r>
    <w:r>
      <w:rPr>
        <w:b/>
      </w:rPr>
      <w:fldChar w:fldCharType="separate"/>
    </w:r>
    <w:r>
      <w:rPr>
        <w:b/>
      </w:rPr>
      <w:t>18</w:t>
    </w:r>
    <w:r>
      <w:rPr>
        <w:b/>
      </w:rPr>
      <w:fldChar w:fldCharType="end"/>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39"/>
      <w:ind w:left="74" w:hanging="0"/>
      <w:jc w:val="center"/>
      <w:rPr/>
    </w:pPr>
    <w:r>
      <w:rPr>
        <w:b/>
        <w:sz w:val="28"/>
      </w:rPr>
      <w:t xml:space="preserve"> </w:t>
    </w:r>
  </w:p>
  <w:p>
    <w:pPr>
      <w:pStyle w:val="Normal"/>
      <w:spacing w:lineRule="auto" w:line="259" w:before="0" w:after="135"/>
      <w:ind w:left="204" w:hanging="0"/>
      <w:jc w:val="center"/>
      <w:rPr/>
    </w:pPr>
    <w:r>
      <w:rPr>
        <w:b/>
        <w:sz w:val="28"/>
      </w:rPr>
      <w:t xml:space="preserve"> </w:t>
    </w:r>
  </w:p>
  <w:p>
    <w:pPr>
      <w:pStyle w:val="Normal"/>
      <w:spacing w:lineRule="auto" w:line="259" w:before="0" w:after="186"/>
      <w:ind w:left="204" w:right="9" w:hanging="0"/>
      <w:rPr/>
    </w:pPr>
    <w:r>
      <w:rPr>
        <w:b/>
        <w:sz w:val="28"/>
      </w:rPr>
      <w:t xml:space="preserve">                                     </w:t>
    </w:r>
    <w:r>
      <w:rPr>
        <w:b/>
        <w:sz w:val="28"/>
      </w:rPr>
      <w:t xml:space="preserve">Kirkland Parish Council </w:t>
    </w:r>
  </w:p>
  <w:p>
    <w:pPr>
      <w:pStyle w:val="Normal"/>
      <w:spacing w:lineRule="auto" w:line="259" w:before="0" w:after="0"/>
      <w:ind w:left="204" w:right="11" w:hanging="0"/>
      <w:jc w:val="center"/>
      <w:rPr/>
    </w:pPr>
    <w:r>
      <w:rPr>
        <w:b/>
        <w:sz w:val="28"/>
      </w:rPr>
      <w:t xml:space="preserve">Councillors’ Code of Conduct 2024 </w:t>
    </w:r>
  </w:p>
  <w:p>
    <w:pPr>
      <w:pStyle w:val="Normal"/>
      <w:spacing w:lineRule="auto" w:line="259" w:before="0" w:after="0"/>
      <w:ind w:left="0" w:right="7598" w:hanging="0"/>
      <w:jc w:val="left"/>
      <w:rPr/>
    </w:pPr>
    <w:r>
      <w:rPr>
        <w:b/>
        <w:sz w:val="28"/>
      </w:rPr>
      <w:t xml:space="preserve"> </w:t>
    </w:r>
  </w:p>
  <w:p>
    <w:pPr>
      <w:pStyle w:val="Normal"/>
      <w:spacing w:lineRule="auto" w:line="259" w:before="0" w:after="0"/>
      <w:ind w:left="0" w:right="7598" w:hanging="0"/>
      <w:jc w:val="left"/>
      <w:rPr/>
    </w:pPr>
    <w: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39"/>
      <w:ind w:left="74" w:hanging="0"/>
      <w:jc w:val="center"/>
      <w:rPr/>
    </w:pPr>
    <w:r>
      <w:rPr>
        <w:b/>
        <w:sz w:val="28"/>
      </w:rPr>
      <w:t xml:space="preserve"> </w:t>
    </w:r>
  </w:p>
  <w:p>
    <w:pPr>
      <w:pStyle w:val="Normal"/>
      <w:spacing w:lineRule="auto" w:line="259" w:before="0" w:after="135"/>
      <w:ind w:left="204" w:hanging="0"/>
      <w:jc w:val="center"/>
      <w:rPr/>
    </w:pPr>
    <w:r>
      <w:rPr>
        <w:b/>
        <w:sz w:val="28"/>
      </w:rPr>
      <w:t xml:space="preserve"> </w:t>
    </w:r>
  </w:p>
  <w:p>
    <w:pPr>
      <w:pStyle w:val="Normal"/>
      <w:spacing w:lineRule="auto" w:line="259" w:before="0" w:after="186"/>
      <w:ind w:left="204" w:right="9" w:hanging="0"/>
      <w:jc w:val="center"/>
      <w:rPr/>
    </w:pPr>
    <w:r>
      <w:rPr>
        <w:b/>
        <w:sz w:val="28"/>
      </w:rPr>
      <w:t xml:space="preserve">Kirkland Parish Council </w:t>
    </w:r>
  </w:p>
  <w:p>
    <w:pPr>
      <w:pStyle w:val="Normal"/>
      <w:spacing w:lineRule="auto" w:line="259" w:before="0" w:after="0"/>
      <w:ind w:left="204" w:right="11" w:hanging="0"/>
      <w:jc w:val="center"/>
      <w:rPr/>
    </w:pPr>
    <w:r>
      <w:rPr>
        <w:b/>
        <w:sz w:val="28"/>
      </w:rPr>
      <w:t xml:space="preserve">Councillors’ Code of Conduct 2024 </w:t>
    </w:r>
  </w:p>
  <w:p>
    <w:pPr>
      <w:pStyle w:val="Normal"/>
      <w:spacing w:lineRule="auto" w:line="259" w:before="0" w:after="0"/>
      <w:ind w:left="0" w:right="7598" w:hanging="0"/>
      <w:jc w:val="left"/>
      <w:rPr/>
    </w:pPr>
    <w:r>
      <w:rPr>
        <w:b/>
        <w:sz w:val="28"/>
      </w:rPr>
      <w:t xml:space="preserve"> </w:t>
    </w:r>
  </w:p>
  <w:p>
    <w:pPr>
      <w:pStyle w:val="Normal"/>
      <w:spacing w:lineRule="auto" w:line="259" w:before="0" w:after="0"/>
      <w:ind w:left="0" w:right="7598" w:hanging="0"/>
      <w:jc w:val="left"/>
      <w:rPr/>
    </w:pP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39"/>
      <w:ind w:left="98" w:hanging="0"/>
      <w:jc w:val="center"/>
      <w:rPr/>
    </w:pPr>
    <w:r>
      <w:rPr>
        <w:b/>
        <w:sz w:val="28"/>
      </w:rPr>
      <w:t xml:space="preserve"> </w:t>
    </w:r>
  </w:p>
  <w:p>
    <w:pPr>
      <w:pStyle w:val="Normal"/>
      <w:spacing w:lineRule="auto" w:line="259" w:before="0" w:after="135"/>
      <w:ind w:left="204" w:hanging="0"/>
      <w:jc w:val="center"/>
      <w:rPr/>
    </w:pPr>
    <w:r>
      <w:rPr>
        <w:b/>
        <w:sz w:val="28"/>
      </w:rPr>
      <w:t xml:space="preserve"> </w:t>
    </w:r>
  </w:p>
  <w:p>
    <w:pPr>
      <w:pStyle w:val="Normal"/>
      <w:spacing w:lineRule="auto" w:line="259" w:before="0" w:after="186"/>
      <w:ind w:left="204" w:hanging="0"/>
      <w:jc w:val="center"/>
      <w:rPr/>
    </w:pPr>
    <w:r>
      <w:rPr>
        <w:b/>
        <w:sz w:val="28"/>
      </w:rPr>
      <w:t xml:space="preserve">Kirkland Parish Council </w:t>
    </w:r>
  </w:p>
  <w:p>
    <w:pPr>
      <w:pStyle w:val="Normal"/>
      <w:spacing w:lineRule="auto" w:line="259" w:before="0" w:after="0"/>
      <w:ind w:left="204" w:hanging="0"/>
      <w:jc w:val="center"/>
      <w:rPr/>
    </w:pPr>
    <w:r>
      <w:rPr>
        <w:b/>
        <w:sz w:val="28"/>
      </w:rPr>
      <w:t xml:space="preserve">Councillors’ Code of Conduct 2024 </w:t>
    </w:r>
  </w:p>
  <w:p>
    <w:pPr>
      <w:pStyle w:val="Normal"/>
      <w:spacing w:lineRule="auto" w:line="259" w:before="0" w:after="0"/>
      <w:ind w:left="0" w:right="7575" w:hanging="0"/>
      <w:jc w:val="left"/>
      <w:rPr/>
    </w:pPr>
    <w:r>
      <w:rPr>
        <w:b/>
        <w:sz w:val="28"/>
      </w:rPr>
      <w:t xml:space="preserve"> </w:t>
    </w:r>
  </w:p>
  <w:p>
    <w:pPr>
      <w:pStyle w:val="Normal"/>
      <w:spacing w:lineRule="auto" w:line="259" w:before="0" w:after="0"/>
      <w:ind w:left="0" w:right="7575" w:hanging="0"/>
      <w:jc w:val="left"/>
      <w:rPr/>
    </w:pPr>
    <w:r>
      <w:rPr/>
      <w:t xml:space="preserve">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139"/>
      <w:ind w:left="595" w:hanging="0"/>
      <w:jc w:val="center"/>
      <w:rPr>
        <w:b/>
        <w:b/>
        <w:sz w:val="28"/>
      </w:rPr>
    </w:pPr>
    <w:r>
      <w:rPr>
        <w:b/>
        <w:sz w:val="28"/>
      </w:rPr>
    </w:r>
  </w:p>
  <w:p>
    <w:pPr>
      <w:pStyle w:val="Normal"/>
      <w:spacing w:lineRule="auto" w:line="259" w:before="0" w:after="139"/>
      <w:ind w:left="595" w:hanging="0"/>
      <w:jc w:val="center"/>
      <w:rPr/>
    </w:pPr>
    <w:r>
      <w:rPr>
        <w:b/>
        <w:sz w:val="28"/>
      </w:rPr>
      <w:t>Kirkland Parish Council</w:t>
    </w:r>
  </w:p>
  <w:p>
    <w:pPr>
      <w:pStyle w:val="Normal"/>
      <w:spacing w:lineRule="auto" w:line="259" w:before="0" w:after="0"/>
      <w:ind w:left="204" w:hanging="0"/>
      <w:jc w:val="center"/>
      <w:rPr/>
    </w:pPr>
    <w:r>
      <w:rPr>
        <w:b/>
        <w:sz w:val="28"/>
      </w:rPr>
      <w:t>Councillors’ Code of Conduct 2024</w:t>
    </w:r>
  </w:p>
  <w:p>
    <w:pPr>
      <w:pStyle w:val="Normal"/>
      <w:spacing w:lineRule="auto" w:line="259" w:before="0" w:after="0"/>
      <w:ind w:left="0" w:right="7799" w:hanging="0"/>
      <w:jc w:val="center"/>
      <w:rPr/>
    </w:pPr>
    <w:r>
      <w:rPr/>
    </w:r>
  </w:p>
  <w:p>
    <w:pPr>
      <w:pStyle w:val="Normal"/>
      <w:spacing w:lineRule="auto" w:line="259" w:before="0" w:after="0"/>
      <w:ind w:left="0" w:right="7799"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95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2">
    <w:lvl w:ilvl="0">
      <w:start w:val="1"/>
      <w:numFmt w:val="bullet"/>
      <w:lvlText w:val="•"/>
      <w:lvlJc w:val="left"/>
      <w:pPr>
        <w:tabs>
          <w:tab w:val="num" w:pos="0"/>
        </w:tabs>
        <w:ind w:left="937"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60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32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04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76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48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20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92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64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abstractNum>
  <w:abstractNum w:abstractNumId="3">
    <w:lvl w:ilvl="0">
      <w:start w:val="1"/>
      <w:numFmt w:val="decimal"/>
      <w:lvlText w:val="%1."/>
      <w:lvlJc w:val="left"/>
      <w:pPr>
        <w:tabs>
          <w:tab w:val="num" w:pos="0"/>
        </w:tabs>
        <w:ind w:left="63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decimal"/>
      <w:lvlText w:val="%1.%2"/>
      <w:lvlJc w:val="left"/>
      <w:pPr>
        <w:tabs>
          <w:tab w:val="num" w:pos="0"/>
        </w:tabs>
        <w:ind w:left="96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65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237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309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381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453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525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597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4">
    <w:lvl w:ilvl="0">
      <w:start w:val="3"/>
      <w:numFmt w:val="decimal"/>
      <w:lvlText w:val="%1."/>
      <w:lvlJc w:val="left"/>
      <w:pPr>
        <w:tabs>
          <w:tab w:val="num" w:pos="0"/>
        </w:tabs>
        <w:ind w:left="61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decimal"/>
      <w:lvlText w:val="%1.%2"/>
      <w:lvlJc w:val="left"/>
      <w:pPr>
        <w:tabs>
          <w:tab w:val="num" w:pos="0"/>
        </w:tabs>
        <w:ind w:left="96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bullet"/>
      <w:lvlText w:val="•"/>
      <w:lvlJc w:val="left"/>
      <w:pPr>
        <w:tabs>
          <w:tab w:val="num" w:pos="0"/>
        </w:tabs>
        <w:ind w:left="1009"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158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230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02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374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446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518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lowerLetter"/>
      <w:lvlText w:val="%2"/>
      <w:lvlJc w:val="left"/>
      <w:pPr>
        <w:tabs>
          <w:tab w:val="num" w:pos="0"/>
        </w:tabs>
        <w:ind w:left="70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04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138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1899"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244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316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388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460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6">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lowerLetter"/>
      <w:lvlText w:val="%2"/>
      <w:lvlJc w:val="left"/>
      <w:pPr>
        <w:tabs>
          <w:tab w:val="num" w:pos="0"/>
        </w:tabs>
        <w:ind w:left="83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311"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178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2262"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2737"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3338"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393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465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lowerLetter"/>
      <w:lvlText w:val="%2"/>
      <w:lvlJc w:val="left"/>
      <w:pPr>
        <w:tabs>
          <w:tab w:val="num" w:pos="0"/>
        </w:tabs>
        <w:ind w:left="769"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177"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158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199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267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312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384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456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lowerLetter"/>
      <w:lvlText w:val="%2"/>
      <w:lvlJc w:val="left"/>
      <w:pPr>
        <w:tabs>
          <w:tab w:val="num" w:pos="0"/>
        </w:tabs>
        <w:ind w:left="624"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888"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lowerLetter"/>
      <w:lvlText w:val="%4."/>
      <w:lvlJc w:val="left"/>
      <w:pPr>
        <w:tabs>
          <w:tab w:val="num" w:pos="0"/>
        </w:tabs>
        <w:ind w:left="1657"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187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259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331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403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4753"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9">
    <w:lvl w:ilvl="0">
      <w:start w:val="11"/>
      <w:numFmt w:val="decimal"/>
      <w:lvlText w:val="%1."/>
      <w:lvlJc w:val="left"/>
      <w:pPr>
        <w:tabs>
          <w:tab w:val="num" w:pos="0"/>
        </w:tabs>
        <w:ind w:left="567"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1">
      <w:start w:val="1"/>
      <w:numFmt w:val="decimal"/>
      <w:lvlText w:val="%1.%2"/>
      <w:lvlJc w:val="left"/>
      <w:pPr>
        <w:tabs>
          <w:tab w:val="num" w:pos="0"/>
        </w:tabs>
        <w:ind w:left="975"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2">
      <w:start w:val="1"/>
      <w:numFmt w:val="lowerRoman"/>
      <w:lvlText w:val="%3"/>
      <w:lvlJc w:val="left"/>
      <w:pPr>
        <w:tabs>
          <w:tab w:val="num" w:pos="0"/>
        </w:tabs>
        <w:ind w:left="165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3">
      <w:start w:val="1"/>
      <w:numFmt w:val="decimal"/>
      <w:lvlText w:val="%4"/>
      <w:lvlJc w:val="left"/>
      <w:pPr>
        <w:tabs>
          <w:tab w:val="num" w:pos="0"/>
        </w:tabs>
        <w:ind w:left="237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4">
      <w:start w:val="1"/>
      <w:numFmt w:val="lowerLetter"/>
      <w:lvlText w:val="%5"/>
      <w:lvlJc w:val="left"/>
      <w:pPr>
        <w:tabs>
          <w:tab w:val="num" w:pos="0"/>
        </w:tabs>
        <w:ind w:left="309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5">
      <w:start w:val="1"/>
      <w:numFmt w:val="lowerRoman"/>
      <w:lvlText w:val="%6"/>
      <w:lvlJc w:val="left"/>
      <w:pPr>
        <w:tabs>
          <w:tab w:val="num" w:pos="0"/>
        </w:tabs>
        <w:ind w:left="381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6">
      <w:start w:val="1"/>
      <w:numFmt w:val="decimal"/>
      <w:lvlText w:val="%7"/>
      <w:lvlJc w:val="left"/>
      <w:pPr>
        <w:tabs>
          <w:tab w:val="num" w:pos="0"/>
        </w:tabs>
        <w:ind w:left="453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7">
      <w:start w:val="1"/>
      <w:numFmt w:val="lowerLetter"/>
      <w:lvlText w:val="%8"/>
      <w:lvlJc w:val="left"/>
      <w:pPr>
        <w:tabs>
          <w:tab w:val="num" w:pos="0"/>
        </w:tabs>
        <w:ind w:left="525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lvl w:ilvl="8">
      <w:start w:val="1"/>
      <w:numFmt w:val="lowerRoman"/>
      <w:lvlText w:val="%9"/>
      <w:lvlJc w:val="left"/>
      <w:pPr>
        <w:tabs>
          <w:tab w:val="num" w:pos="0"/>
        </w:tabs>
        <w:ind w:left="5976" w:hanging="0"/>
      </w:pPr>
      <w:rPr>
        <w:dstrike w:val="false"/>
        <w:strike w:val="false"/>
        <w:vertAlign w:val="baseline"/>
        <w:position w:val="0"/>
        <w:sz w:val="24"/>
        <w:sz w:val="24"/>
        <w:i w:val="false"/>
        <w:u w:val="none" w:color="000000"/>
        <w:b/>
        <w:shd w:fill="auto" w:val="clear"/>
        <w:szCs w:val="24"/>
        <w:bCs/>
        <w:rFonts w:ascii="Arial" w:hAnsi="Arial" w:eastAsia="Arial" w:cs="Arial"/>
        <w:color w:val="000000"/>
      </w:rPr>
    </w:lvl>
  </w:abstractNum>
  <w:abstractNum w:abstractNumId="10">
    <w:lvl w:ilvl="0">
      <w:start w:val="1"/>
      <w:numFmt w:val="decimal"/>
      <w:lvlText w:val="%1."/>
      <w:lvlJc w:val="left"/>
      <w:pPr>
        <w:tabs>
          <w:tab w:val="num" w:pos="0"/>
        </w:tabs>
        <w:ind w:left="965"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700"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237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309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81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53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525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97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692"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1">
    <w:lvl w:ilvl="0">
      <w:start w:val="1"/>
      <w:numFmt w:val="bullet"/>
      <w:lvlText w:val="*"/>
      <w:lvlJc w:val="left"/>
      <w:pPr>
        <w:tabs>
          <w:tab w:val="num" w:pos="0"/>
        </w:tabs>
        <w:ind w:left="21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lowerLetter"/>
      <w:lvlText w:val="%2)"/>
      <w:lvlJc w:val="left"/>
      <w:pPr>
        <w:tabs>
          <w:tab w:val="num" w:pos="0"/>
        </w:tabs>
        <w:ind w:left="831"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59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31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03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75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47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19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591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2">
    <w:lvl w:ilvl="0">
      <w:start w:val="1"/>
      <w:numFmt w:val="bullet"/>
      <w:lvlText w:val="•"/>
      <w:lvlJc w:val="left"/>
      <w:pPr>
        <w:tabs>
          <w:tab w:val="num" w:pos="0"/>
        </w:tabs>
        <w:ind w:left="36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
      <w:lvlJc w:val="left"/>
      <w:pPr>
        <w:tabs>
          <w:tab w:val="num" w:pos="0"/>
        </w:tabs>
        <w:ind w:left="937"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65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37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09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81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53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25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597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abstractNum>
  <w:abstractNum w:abstractNumId="13">
    <w:lvl w:ilvl="0">
      <w:start w:val="1"/>
      <w:numFmt w:val="bullet"/>
      <w:lvlText w:val="•"/>
      <w:lvlJc w:val="left"/>
      <w:pPr>
        <w:tabs>
          <w:tab w:val="num" w:pos="0"/>
        </w:tabs>
        <w:ind w:left="85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1">
      <w:start w:val="1"/>
      <w:numFmt w:val="bullet"/>
      <w:lvlText w:val="o"/>
      <w:lvlJc w:val="left"/>
      <w:pPr>
        <w:tabs>
          <w:tab w:val="num" w:pos="0"/>
        </w:tabs>
        <w:ind w:left="157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2">
      <w:start w:val="1"/>
      <w:numFmt w:val="bullet"/>
      <w:lvlText w:val="▪"/>
      <w:lvlJc w:val="left"/>
      <w:pPr>
        <w:tabs>
          <w:tab w:val="num" w:pos="0"/>
        </w:tabs>
        <w:ind w:left="229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3">
      <w:start w:val="1"/>
      <w:numFmt w:val="bullet"/>
      <w:lvlText w:val="•"/>
      <w:lvlJc w:val="left"/>
      <w:pPr>
        <w:tabs>
          <w:tab w:val="num" w:pos="0"/>
        </w:tabs>
        <w:ind w:left="301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4">
      <w:start w:val="1"/>
      <w:numFmt w:val="bullet"/>
      <w:lvlText w:val="o"/>
      <w:lvlJc w:val="left"/>
      <w:pPr>
        <w:tabs>
          <w:tab w:val="num" w:pos="0"/>
        </w:tabs>
        <w:ind w:left="373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5">
      <w:start w:val="1"/>
      <w:numFmt w:val="bullet"/>
      <w:lvlText w:val="▪"/>
      <w:lvlJc w:val="left"/>
      <w:pPr>
        <w:tabs>
          <w:tab w:val="num" w:pos="0"/>
        </w:tabs>
        <w:ind w:left="445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6">
      <w:start w:val="1"/>
      <w:numFmt w:val="bullet"/>
      <w:lvlText w:val="•"/>
      <w:lvlJc w:val="left"/>
      <w:pPr>
        <w:tabs>
          <w:tab w:val="num" w:pos="0"/>
        </w:tabs>
        <w:ind w:left="5175" w:hanging="0"/>
      </w:pPr>
      <w:rPr>
        <w:rFonts w:ascii="Arial" w:hAnsi="Arial" w:cs="Arial" w:hint="default"/>
        <w:dstrike w:val="false"/>
        <w:strike w:val="false"/>
        <w:vertAlign w:val="baseline"/>
        <w:position w:val="0"/>
        <w:sz w:val="22"/>
        <w:sz w:val="22"/>
        <w:i w:val="false"/>
        <w:u w:val="none" w:color="000000"/>
        <w:b w:val="false"/>
        <w:shd w:fill="auto" w:val="clear"/>
        <w:szCs w:val="22"/>
        <w:color w:val="000000"/>
      </w:rPr>
    </w:lvl>
    <w:lvl w:ilvl="7">
      <w:start w:val="1"/>
      <w:numFmt w:val="bullet"/>
      <w:lvlText w:val="o"/>
      <w:lvlJc w:val="left"/>
      <w:pPr>
        <w:tabs>
          <w:tab w:val="num" w:pos="0"/>
        </w:tabs>
        <w:ind w:left="589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lvl w:ilvl="8">
      <w:start w:val="1"/>
      <w:numFmt w:val="bullet"/>
      <w:lvlText w:val="▪"/>
      <w:lvlJc w:val="left"/>
      <w:pPr>
        <w:tabs>
          <w:tab w:val="num" w:pos="0"/>
        </w:tabs>
        <w:ind w:left="6615" w:hanging="0"/>
      </w:pPr>
      <w:rPr>
        <w:rFonts w:ascii="Segoe UI Symbol" w:hAnsi="Segoe UI Symbol" w:cs="Segoe UI Symbol" w:hint="default"/>
        <w:dstrike w:val="false"/>
        <w:strike w:val="false"/>
        <w:vertAlign w:val="baseline"/>
        <w:position w:val="0"/>
        <w:sz w:val="22"/>
        <w:sz w:val="22"/>
        <w:i w:val="false"/>
        <w:u w:val="none" w:color="000000"/>
        <w:b w:val="false"/>
        <w:shd w:fill="auto" w:val="clear"/>
        <w:szCs w:val="22"/>
        <w:color w:val="000000"/>
      </w:rPr>
    </w:lvl>
  </w:abstractNum>
  <w:abstractNum w:abstractNumId="14">
    <w:lvl w:ilvl="0">
      <w:start w:val="1"/>
      <w:numFmt w:val="lowerLetter"/>
      <w:lvlText w:val="(%1)"/>
      <w:lvlJc w:val="left"/>
      <w:pPr>
        <w:tabs>
          <w:tab w:val="num" w:pos="0"/>
        </w:tabs>
        <w:ind w:left="3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2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9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5">
    <w:lvl w:ilvl="0">
      <w:start w:val="1"/>
      <w:numFmt w:val="lowerLetter"/>
      <w:lvlText w:val="(%1)"/>
      <w:lvlJc w:val="left"/>
      <w:pPr>
        <w:tabs>
          <w:tab w:val="num" w:pos="0"/>
        </w:tabs>
        <w:ind w:left="31"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1">
      <w:start w:val="1"/>
      <w:numFmt w:val="lowerLetter"/>
      <w:lvlText w:val="%2"/>
      <w:lvlJc w:val="left"/>
      <w:pPr>
        <w:tabs>
          <w:tab w:val="num" w:pos="0"/>
        </w:tabs>
        <w:ind w:left="12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2">
      <w:start w:val="1"/>
      <w:numFmt w:val="lowerRoman"/>
      <w:lvlText w:val="%3"/>
      <w:lvlJc w:val="left"/>
      <w:pPr>
        <w:tabs>
          <w:tab w:val="num" w:pos="0"/>
        </w:tabs>
        <w:ind w:left="19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3">
      <w:start w:val="1"/>
      <w:numFmt w:val="decimal"/>
      <w:lvlText w:val="%4"/>
      <w:lvlJc w:val="left"/>
      <w:pPr>
        <w:tabs>
          <w:tab w:val="num" w:pos="0"/>
        </w:tabs>
        <w:ind w:left="26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4">
      <w:start w:val="1"/>
      <w:numFmt w:val="lowerLetter"/>
      <w:lvlText w:val="%5"/>
      <w:lvlJc w:val="left"/>
      <w:pPr>
        <w:tabs>
          <w:tab w:val="num" w:pos="0"/>
        </w:tabs>
        <w:ind w:left="336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5">
      <w:start w:val="1"/>
      <w:numFmt w:val="lowerRoman"/>
      <w:lvlText w:val="%6"/>
      <w:lvlJc w:val="left"/>
      <w:pPr>
        <w:tabs>
          <w:tab w:val="num" w:pos="0"/>
        </w:tabs>
        <w:ind w:left="408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6">
      <w:start w:val="1"/>
      <w:numFmt w:val="decimal"/>
      <w:lvlText w:val="%7"/>
      <w:lvlJc w:val="left"/>
      <w:pPr>
        <w:tabs>
          <w:tab w:val="num" w:pos="0"/>
        </w:tabs>
        <w:ind w:left="480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7">
      <w:start w:val="1"/>
      <w:numFmt w:val="lowerLetter"/>
      <w:lvlText w:val="%8"/>
      <w:lvlJc w:val="left"/>
      <w:pPr>
        <w:tabs>
          <w:tab w:val="num" w:pos="0"/>
        </w:tabs>
        <w:ind w:left="552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lvl w:ilvl="8">
      <w:start w:val="1"/>
      <w:numFmt w:val="lowerRoman"/>
      <w:lvlText w:val="%9"/>
      <w:lvlJc w:val="left"/>
      <w:pPr>
        <w:tabs>
          <w:tab w:val="num" w:pos="0"/>
        </w:tabs>
        <w:ind w:left="6247" w:hanging="0"/>
      </w:pPr>
      <w:rPr>
        <w:dstrike w:val="false"/>
        <w:strike w:val="false"/>
        <w:vertAlign w:val="baseline"/>
        <w:position w:val="0"/>
        <w:sz w:val="24"/>
        <w:sz w:val="24"/>
        <w:i w:val="false"/>
        <w:u w:val="none" w:color="000000"/>
        <w:b w:val="false"/>
        <w:shd w:fill="auto" w:val="clear"/>
        <w:szCs w:val="24"/>
        <w:rFonts w:ascii="Arial" w:hAnsi="Arial" w:eastAsia="Arial" w:cs="Arial"/>
        <w:color w:val="000000"/>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GB" w:eastAsia="en-GB"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64" w:before="0" w:after="13"/>
      <w:ind w:left="226" w:hanging="10"/>
      <w:jc w:val="both"/>
    </w:pPr>
    <w:rPr>
      <w:rFonts w:ascii="Arial" w:hAnsi="Arial" w:eastAsia="Arial" w:cs="Arial"/>
      <w:color w:val="000000"/>
      <w:kern w:val="2"/>
      <w:sz w:val="22"/>
      <w:szCs w:val="24"/>
      <w:lang w:val="en-GB" w:eastAsia="en-GB"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government/publications/the-7-principles-of-public-life/the-7-principles-of-public-life--2" TargetMode="External"/><Relationship Id="rId3" Type="http://schemas.openxmlformats.org/officeDocument/2006/relationships/hyperlink" Target="https://www.gov.uk/government/publications/the-7-principles-of-public-life/the-7-principles-of-public-life--2" TargetMode="External"/><Relationship Id="rId4" Type="http://schemas.openxmlformats.org/officeDocument/2006/relationships/hyperlink" Target="https://www.gov.uk/government/publications/the-7-principles-of-public-life/the-7-principles-of-public-life--2" TargetMode="External"/><Relationship Id="rId5" Type="http://schemas.openxmlformats.org/officeDocument/2006/relationships/hyperlink" Target="https://www.gov.uk/government/publications/the-7-principles-of-public-life/the-7-principles-of-public-life--2" TargetMode="External"/><Relationship Id="rId6" Type="http://schemas.openxmlformats.org/officeDocument/2006/relationships/hyperlink" Target="https://www.gov.uk/government/publications/the-7-principles-of-public-life/the-7-principles-of-public-life--2" TargetMode="External"/><Relationship Id="rId7" Type="http://schemas.openxmlformats.org/officeDocument/2006/relationships/hyperlink" Target="https://www.gov.uk/government/publications/the-7-principles-of-public-life/the-7-principles-of-public-life--2" TargetMode="External"/><Relationship Id="rId8" Type="http://schemas.openxmlformats.org/officeDocument/2006/relationships/hyperlink" Target="https://www.gov.uk/government/publications/the-7-principles-of-public-life/the-7-principles-of-public-life--2" TargetMode="External"/><Relationship Id="rId9" Type="http://schemas.openxmlformats.org/officeDocument/2006/relationships/hyperlink" Target="https://www.gov.uk/government/publications/the-7-principles-of-public-life/the-7-principles-of-public-life--2" TargetMode="External"/><Relationship Id="rId10" Type="http://schemas.openxmlformats.org/officeDocument/2006/relationships/hyperlink" Target="https://www.gov.uk/government/publications/the-7-principles-of-public-life/the-7-principles-of-public-life--2" TargetMode="External"/><Relationship Id="rId11" Type="http://schemas.openxmlformats.org/officeDocument/2006/relationships/hyperlink" Target="https://www.gov.uk/government/publications/the-7-principles-of-public-life/the-7-principles-of-public-life--2" TargetMode="External"/><Relationship Id="rId12" Type="http://schemas.openxmlformats.org/officeDocument/2006/relationships/hyperlink" Target="https://www.gov.uk/government/publications/the-7-principles-of-public-life/the-7-principles-of-public-life--2"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yperlink" Target="https://www.legislation.gov.uk/uksi/2012/1464/made" TargetMode="External"/><Relationship Id="rId20" Type="http://schemas.openxmlformats.org/officeDocument/2006/relationships/hyperlink" Target="https://www.legislation.gov.uk/uksi/2012/1464/made" TargetMode="External"/><Relationship Id="rId21" Type="http://schemas.openxmlformats.org/officeDocument/2006/relationships/hyperlink" Target="https://www.legislation.gov.uk/uksi/2012/1464/made" TargetMode="External"/><Relationship Id="rId22" Type="http://schemas.openxmlformats.org/officeDocument/2006/relationships/hyperlink" Target="https://www.legislation.gov.uk/uksi/2012/1464/made" TargetMode="External"/><Relationship Id="rId23" Type="http://schemas.openxmlformats.org/officeDocument/2006/relationships/hyperlink" Target="https://www.legislation.gov.uk/uksi/2012/1464/made" TargetMode="External"/><Relationship Id="rId24" Type="http://schemas.openxmlformats.org/officeDocument/2006/relationships/hyperlink" Target="https://www.legislation.gov.uk/uksi/2012/1464/made" TargetMode="External"/><Relationship Id="rId25"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29"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1"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3" Type="http://schemas.openxmlformats.org/officeDocument/2006/relationships/hyperlink" Target="https://www.legislation.gov.uk/uksi/2012/1464/made" TargetMode="External"/><Relationship Id="rId34" Type="http://schemas.openxmlformats.org/officeDocument/2006/relationships/hyperlink" Target="https://www.legislation.gov.uk/uksi/2012/1464/made" TargetMode="External"/><Relationship Id="rId35" Type="http://schemas.openxmlformats.org/officeDocument/2006/relationships/image" Target="media/image1.png"/><Relationship Id="rId36" Type="http://schemas.openxmlformats.org/officeDocument/2006/relationships/hyperlink" Target="https://www.gov.uk/government/publications/local-government-ethical-standards-report" TargetMode="External"/><Relationship Id="rId37" Type="http://schemas.openxmlformats.org/officeDocument/2006/relationships/hyperlink" Target="https://www.gov.uk/government/publications/local-government-ethical-standards-report" TargetMode="External"/><Relationship Id="rId38" Type="http://schemas.openxmlformats.org/officeDocument/2006/relationships/hyperlink" Target="https://www.gov.uk/government/publications/local-government-ethical-standards-report" TargetMode="External"/><Relationship Id="rId39"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1" Type="http://schemas.openxmlformats.org/officeDocument/2006/relationships/hyperlink" Target="https://www.gov.uk/government/publications/local-government-ethical-standards-report" TargetMode="External"/><Relationship Id="rId42" Type="http://schemas.openxmlformats.org/officeDocument/2006/relationships/hyperlink" Target="https://www.gov.uk/government/publications/local-government-ethical-standards-report" TargetMode="External"/><Relationship Id="rId43" Type="http://schemas.openxmlformats.org/officeDocument/2006/relationships/hyperlink" Target="https://www.gov.uk/government/publications/local-government-ethical-standards-report" TargetMode="External"/><Relationship Id="rId44" Type="http://schemas.openxmlformats.org/officeDocument/2006/relationships/hyperlink" Target="https://www.gov.uk/government/publications/local-government-ethical-standards-report" TargetMode="External"/><Relationship Id="rId45" Type="http://schemas.openxmlformats.org/officeDocument/2006/relationships/hyperlink" Target="https://www.gov.uk/government/publications/local-government-ethical-standards-report" TargetMode="External"/><Relationship Id="rId46" Type="http://schemas.openxmlformats.org/officeDocument/2006/relationships/hyperlink" Target="https://www.gov.uk/government/publications/local-government-ethical-standards-report" TargetMode="External"/><Relationship Id="rId47" Type="http://schemas.openxmlformats.org/officeDocument/2006/relationships/hyperlink" Target="https://www.gov.uk/government/publications/local-government-ethical-standards-report" TargetMode="External"/><Relationship Id="rId48" Type="http://schemas.openxmlformats.org/officeDocument/2006/relationships/hyperlink" Target="https://www.local.gov.uk/publications/guidance-local-government-association-model-councillor-code-conduct" TargetMode="External"/><Relationship Id="rId49" Type="http://schemas.openxmlformats.org/officeDocument/2006/relationships/hyperlink" Target="https://www.local.gov.uk/publications/guidance-local-government-association-model-councillor-code-conduct" TargetMode="External"/><Relationship Id="rId50" Type="http://schemas.openxmlformats.org/officeDocument/2006/relationships/hyperlink" Target="https://www.local.gov.uk/publications/guidance-local-government-association-model-councillor-code-conduct" TargetMode="External"/><Relationship Id="rId51" Type="http://schemas.openxmlformats.org/officeDocument/2006/relationships/hyperlink" Target="https://www.local.gov.uk/publications/guidance-local-government-association-model-councillor-code-conduct" TargetMode="External"/><Relationship Id="rId52" Type="http://schemas.openxmlformats.org/officeDocument/2006/relationships/hyperlink" Target="https://www.local.gov.uk/publications/guidance-local-government-association-model-councillor-code-conduct" TargetMode="External"/><Relationship Id="rId53" Type="http://schemas.openxmlformats.org/officeDocument/2006/relationships/hyperlink" Target="https://www.local.gov.uk/publications/guidance-local-government-association-model-councillor-code-conduct" TargetMode="External"/><Relationship Id="rId54" Type="http://schemas.openxmlformats.org/officeDocument/2006/relationships/hyperlink" Target="https://www.local.gov.uk/publications/guidance-local-government-association-model-councillor-code-conduct" TargetMode="External"/><Relationship Id="rId55" Type="http://schemas.openxmlformats.org/officeDocument/2006/relationships/hyperlink" Target="https://www.local.gov.uk/publications/guidance-local-government-association-model-councillor-code-conduct" TargetMode="External"/><Relationship Id="rId56" Type="http://schemas.openxmlformats.org/officeDocument/2006/relationships/hyperlink" Target="https://www.local.gov.uk/publications/guidance-local-government-association-model-councillor-code-conduct" TargetMode="External"/><Relationship Id="rId57" Type="http://schemas.openxmlformats.org/officeDocument/2006/relationships/hyperlink" Target="https://www.local.gov.uk/publications/guidance-local-government-association-model-councillor-code-conduct" TargetMode="External"/><Relationship Id="rId58" Type="http://schemas.openxmlformats.org/officeDocument/2006/relationships/hyperlink" Target="https://www.local.gov.uk/publications/guidance-local-government-association-model-councillor-code-conduct" TargetMode="External"/><Relationship Id="rId59" Type="http://schemas.openxmlformats.org/officeDocument/2006/relationships/hyperlink" Target="https://www.local.gov.uk/publications/guidance-local-government-association-model-councillor-code-conduct" TargetMode="External"/><Relationship Id="rId60" Type="http://schemas.openxmlformats.org/officeDocument/2006/relationships/hyperlink" Target="https://www.local.gov.uk/publications/guidance-local-government-association-model-councillor-code-conduct" TargetMode="External"/><Relationship Id="rId61" Type="http://schemas.openxmlformats.org/officeDocument/2006/relationships/hyperlink" Target="https://www.local.gov.uk/publications/guidance-local-government-association-model-councillor-code-conduct" TargetMode="External"/><Relationship Id="rId62" Type="http://schemas.openxmlformats.org/officeDocument/2006/relationships/hyperlink" Target="https://www.local.gov.uk/publications/guidance-local-government-association-model-councillor-code-conduct" TargetMode="External"/><Relationship Id="rId63" Type="http://schemas.openxmlformats.org/officeDocument/2006/relationships/header" Target="header4.xml"/><Relationship Id="rId64" Type="http://schemas.openxmlformats.org/officeDocument/2006/relationships/footer" Target="footer4.xm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LibreOffice/7.1.8.1$Windows_X86_64 LibreOffice_project/e1f30c802c3269a1d052614453f260e49458c82c</Application>
  <AppVersion>15.0000</AppVersion>
  <Pages>18</Pages>
  <Words>5997</Words>
  <Characters>30702</Characters>
  <CharactersWithSpaces>36855</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2024-09-03T05:33:00Z</dcterms:created>
  <dc:creator>Local Government Association</dc:creator>
  <dc:description/>
  <dc:language>en-GB</dc:language>
  <cp:lastModifiedBy/>
  <dcterms:modified xsi:type="dcterms:W3CDTF">2024-09-26T11:43:11Z</dcterms:modified>
  <cp:revision>3</cp:revision>
  <dc:subject>Local Government Association Model Councillor Code of Conduct 2020</dc:subject>
  <dc:title>Local Government Association Model Councillor Code of Conduct 2020</dc:title>
</cp:coreProperties>
</file>

<file path=docProps/custom.xml><?xml version="1.0" encoding="utf-8"?>
<Properties xmlns="http://schemas.openxmlformats.org/officeDocument/2006/custom-properties" xmlns:vt="http://schemas.openxmlformats.org/officeDocument/2006/docPropsVTypes"/>
</file>